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StFoG (Bayern) — Leistungen für Versorgungsempfänger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trägt die Versorgungs- und Beihilfeleistungen für die ehemaligen Beamten der Staatsforstverwaltung und deren Hinterbliebene.</w:t>
      </w:r>
    </w:p>
    <w:p>
      <w:r>
        <w:t xml:space="preserve">(2) Die Bayerische Staatsforsten trägt die Versorgungs- und Beihilfeleistungen für die vom Freistaat Bayern übernommenen Beamten und deren Hinterbliebene. Der Freistaat Bayern beteiligt sich an den Versorgungsleistungen nach Satz 1 nach Maßgabe des Art. 145 BayBG.</w:t>
      </w:r>
    </w:p>
    <w:p>
      <w:r>
        <w:rPr>
          <w:color w:val="555555"/>
          <w:sz w:val="17"/>
        </w:rPr>
        <w:t xml:space="preserve">Zitiervorschlag: Art 20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