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StFoG (Bayern) — Errichtung</w:t>
      </w:r>
    </w:p>
    <w:p>
      <w:r>
        <w:rPr>
          <w:color w:val="555555"/>
          <w:sz w:val="18"/>
        </w:rPr>
        <w:t xml:space="preserve">Staatsforstengesetz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Bayerische Staatsforsten ist mit dem Tag des In-Kraft-Tretens dieses Gesetzes als rechtsfähige Anstalt des öffentlichen Rechts des Freistaates Bayern errichtet.</w:t>
      </w:r>
    </w:p>
    <w:p>
      <w:r>
        <w:t xml:space="preserve">(2) Die Bayerische Staatsforsten ist ein rechtlich und wirtschaftlich eigenständiger Forstwirtschaftsbetrieb. Sie hat ihren Sitz in Regensburg.</w:t>
      </w:r>
    </w:p>
    <w:p>
      <w:r>
        <w:rPr>
          <w:color w:val="555555"/>
          <w:sz w:val="17"/>
        </w:rPr>
        <w:t xml:space="preserve">Zitiervorschlag: Art 2 StFoG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https://recht.nulegal.eu/gesetze/StFoG/2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