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StFoG (Bayern) — Haftung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haftet für die Verbindlichkeiten der Bayerischen Staatsforsten unbeschränkt, soweit die Befriedigung aus dem Vermögen der Anstalt nicht möglich ist.</w:t>
      </w:r>
    </w:p>
    <w:p>
      <w:r>
        <w:t xml:space="preserve">(2) Soweit die Bayerische Staatsforsten zur Absicherung ihrer Risiken nicht Versicherungen abschließt, kann eine Teilhabe an der Eigenversicherung des Freistaates Bayern gegen Zahlung eines marktgerechten Entgelts vereinbart werden.</w:t>
      </w:r>
    </w:p>
    <w:p>
      <w:r>
        <w:t xml:space="preserve">(3) Der Freistaat Bayern trägt die Kosten für Sicherungs-, Sanierungs- sowie sonstige Maßnahmen für Altlasten an Grundstücken, die der Bayerischen Staatsforsten nach Art. 3 zur Bewirtschaftung oder nach Art. 5 zu Eigentum übertragen werden, wenn sie aus öffentlich-rechtlicher Verpflichtung notwendig und durch Bescheid der zuständigen Sicherheitsbehörde nachgewiesen sind.</w:t>
      </w:r>
    </w:p>
    <w:p>
      <w:r>
        <w:rPr>
          <w:color w:val="555555"/>
          <w:sz w:val="17"/>
        </w:rPr>
        <w:t xml:space="preserve">Zitiervorschlag: Art 18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