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StFoG (Bayern) — Satzung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Satzung der Bayerischen Staatsforsten können die Aufgaben und Geschäfte, die Vertretungs- und sonstigen Rechtsverhältnisse, Aufbau und Organisation der Anstalt, ihre Wirtschaftsprüfung, Buchführung und Rechnungslegung sowie sonstige die Bayerische Staatsforsten betreffende Fragen im Rahmen der Gesetze geregelt werden.</w:t>
      </w:r>
    </w:p>
    <w:p>
      <w:r>
        <w:t xml:space="preserve">(2) Die Satzung bedarf der Genehmigung der Aufsichtsbehörde.</w:t>
      </w:r>
    </w:p>
    <w:p>
      <w:r>
        <w:t xml:space="preserve">(3) Erlass sowie Änderungen der Satzung sind im Bayerischen Staatsanzeiger zu veröffentlichen.</w:t>
      </w:r>
    </w:p>
    <w:p>
      <w:r>
        <w:rPr>
          <w:color w:val="555555"/>
          <w:sz w:val="17"/>
        </w:rPr>
        <w:t xml:space="preserve">Zitiervorschlag: Art 13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