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StFoG (Bayern) — Aufgaben des Aufsichtsrats</w:t>
      </w:r>
    </w:p>
    <w:p>
      <w:r>
        <w:rPr>
          <w:color w:val="555555"/>
          <w:sz w:val="18"/>
        </w:rPr>
        <w:t xml:space="preserve">Staatsforstengesetz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Aufsichtsrat überwacht die Geschäftsführung des Vorstands.</w:t>
      </w:r>
    </w:p>
    <w:p>
      <w:r>
        <w:t xml:space="preserve">(2) Der Aufsichtsrat entscheidet in den in diesem Gesetz vorgesehenen Fällen sowie über:</w:t>
      </w:r>
    </w:p>
    <w:p>
      <w:r>
        <w:t xml:space="preserve">1. Erlass und Änderung der Satzung,</w:t>
      </w:r>
    </w:p>
    <w:p>
      <w:r>
        <w:t xml:space="preserve">2. Bestellung und Abberufung der Mitglieder des Vorstands,</w:t>
      </w:r>
    </w:p>
    <w:p>
      <w:r>
        <w:t xml:space="preserve">3. Anstellungsverträge für die Mitglieder des Vorstands,</w:t>
      </w:r>
    </w:p>
    <w:p>
      <w:r>
        <w:t xml:space="preserve">4. Beschlussfassung über den Wirtschaftsplan auf Vorschlag des Vorstands,</w:t>
      </w:r>
    </w:p>
    <w:p>
      <w:r>
        <w:t xml:space="preserve">5. Entscheidung über die Feststellung des Jahresabschlusses und die Verwendung des Jahresergebnisses auf Vorschlag des Vorstands,</w:t>
      </w:r>
    </w:p>
    <w:p>
      <w:r>
        <w:t xml:space="preserve">6. Entlastung der Mitglieder des Vorstands,</w:t>
      </w:r>
    </w:p>
    <w:p>
      <w:r>
        <w:t xml:space="preserve">7. Bestellung des Abschlussprüfers auf Vorschlag des Vorstands.</w:t>
      </w:r>
    </w:p>
    <w:p>
      <w:r>
        <w:t xml:space="preserve">(3) Der Vorstand bedarf der vorherigen Zustimmung des Aufsichtsrats:</w:t>
      </w:r>
    </w:p>
    <w:p>
      <w:r>
        <w:t xml:space="preserve">1. zum Erwerb, zur Veräußerung oder Belastung von Vermögensgegenständen, insbesondere von Grundstücken und grundstücksgleichen Rechten, sowie Verzicht auf Ansprüche und Abschluss von Vergleichen, sofern eine vom Aufsichtsrat festzulegende Wertgrenze überschritten wird; dies gilt auch, wenn die vorgenannten Rechtsgeschäfte im Namen und in Vertretung des Freistaates Bayern geschlossen werden,</w:t>
      </w:r>
    </w:p>
    <w:p>
      <w:r>
        <w:t xml:space="preserve">2. zur Gründung von Tochterunternehmen, zum Erwerb, zur Veräußerung und Belastung von Unternehmen und Unternehmensbeteiligungen sowie Ausgliederung von Unternehmen und Unternehmensteilen,</w:t>
      </w:r>
    </w:p>
    <w:p>
      <w:r>
        <w:t xml:space="preserve">3. zum Abschluss, zur wesentlichen Änderung oder Aufhebung von Verträgen, einschließlich Kredit-, Bürgschafts- oder Garantieverträgen, aber ausschließlich von Kaufverträgen über Holzprodukte, sowie Einleitung und Durchführung von Rechtsstreitigkeiten in besonders bedeutsamen Fällen, die vom Aufsichtsrat näher bestimmt werden,</w:t>
      </w:r>
    </w:p>
    <w:p>
      <w:r>
        <w:t xml:space="preserve">4. zu weiteren Angelegenheiten von vergleichbarer Bedeutung nach Maßgabe der Satzung.</w:t>
      </w:r>
    </w:p>
    <w:p>
      <w:r>
        <w:t xml:space="preserve">Der Aufsichtsrat kann seine Zustimmung für bestimmte Arten von Geschäften generell erteilen.</w:t>
      </w:r>
    </w:p>
    <w:p>
      <w:r>
        <w:t xml:space="preserve">(4) Für die Sorgfaltspflicht, Verantwortlichkeit und Verschwiegenheitspflicht der Aufsichtsratsmitglieder gelten Art. 9 Abs. 2 und 5 sinngemäß.</w:t>
      </w:r>
    </w:p>
    <w:p>
      <w:r>
        <w:rPr>
          <w:color w:val="555555"/>
          <w:sz w:val="17"/>
        </w:rPr>
        <w:t xml:space="preserve">Zitiervorschlag: Art 11 StFoG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https://recht.nulegal.eu/gesetze/StFoG/11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