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StFachAngAusbV 2023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pPr>
        <w:ind w:left="420"/>
      </w:pPr>
      <w:r>
        <w:t xml:space="preserve">1. „Sachverhalte steuerrechtlich beurteilen und in Steuererklärungen bearbeiten“ mit 35 Prozent,</w:t>
      </w:r>
    </w:p>
    <w:p>
      <w:pPr>
        <w:ind w:left="420"/>
      </w:pPr>
      <w:r>
        <w:t xml:space="preserve">2. „Sachverhalte im Zusammenhang mit Finanzbuchhaltungen, Entgeltabrechnungen und Jahresabschlüssen“ bearbeiten mit 30 Prozent,</w:t>
      </w:r>
    </w:p>
    <w:p>
      <w:pPr>
        <w:ind w:left="420"/>
      </w:pPr>
      <w:r>
        <w:t xml:space="preserve">3. „Mandantinnen- und Mandantenberatung mitgestalten“ mit 25 Prozent sowie</w:t>
      </w:r>
    </w:p>
    <w:p>
      <w:pPr>
        <w:ind w:left="420"/>
      </w:pPr>
      <w:r>
        <w:t xml:space="preserve">4. „Wirtschafts- und Sozialkunde“ mit 10 Prozent.</w:t>
      </w:r>
    </w:p>
    <w:p>
      <w:r>
        <w:t xml:space="preserve">(2) Die Abschlussprüfung ist bestanden, wenn die Prüfungsleistungen – auch unter Berücksichtigung einer mündlichen Ergänzungsprüfung nach § 19 –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im Prüfungsbereich „Sachverhalte steuerrechtlich beurteilen und in Steuererklärungen bearbeiten“ mit mindestens „ausreichend“,</w:t>
      </w:r>
    </w:p>
    <w:p>
      <w:pPr>
        <w:ind w:left="420"/>
      </w:pPr>
      <w:r>
        <w:t xml:space="preserve">3. in mindestens zwei weiteren Prüfungsbereichen mit mindestens „ausreichend“ und</w:t>
      </w:r>
    </w:p>
    <w:p>
      <w:pPr>
        <w:ind w:left="420"/>
      </w:pPr>
      <w:r>
        <w:t xml:space="preserve">4. in keinem Prüfungsbereich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18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