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StFachAngAusbV 2023 — Prüfungsbereich „Sachverhalte steuerrechtlich beurteilen und in Steuererklärungen bearbeiten“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„Sachverhalte steuerrechtlich beurteilen und in Steuererklärungen bearbeiten“ hat der Prüfling nachzuweisen, dass er in der Lage ist,</w:t>
      </w:r>
    </w:p>
    <w:p>
      <w:pPr>
        <w:ind w:left="420"/>
      </w:pPr>
      <w:r>
        <w:t xml:space="preserve">1. Anliegen von Mandantinnen und Mandanten aufzunehmen,</w:t>
      </w:r>
    </w:p>
    <w:p>
      <w:pPr>
        <w:ind w:left="420"/>
      </w:pPr>
      <w:r>
        <w:t xml:space="preserve">2. Sachverhalte unter Berücksichtigung steuerrechtlicher und handelsrechtlicher Regelungen einzuordnen,</w:t>
      </w:r>
    </w:p>
    <w:p>
      <w:pPr>
        <w:ind w:left="420"/>
      </w:pPr>
      <w:r>
        <w:t xml:space="preserve">3. steuerliche Grunddaten von Mandantinnen und Mandanten zu erfassen und zu verarbeiten,</w:t>
      </w:r>
    </w:p>
    <w:p>
      <w:pPr>
        <w:ind w:left="420"/>
      </w:pPr>
      <w:r>
        <w:t xml:space="preserve">4. die eingereichten Unterlagen den Steuerarten zuzuordnen,</w:t>
      </w:r>
    </w:p>
    <w:p>
      <w:pPr>
        <w:ind w:left="420"/>
      </w:pPr>
      <w:r>
        <w:t xml:space="preserve">5. den Gewinn einer Einkunftsart durch eine Einnahmenüberschussrechnung zu ermitteln,</w:t>
      </w:r>
    </w:p>
    <w:p>
      <w:pPr>
        <w:ind w:left="420"/>
      </w:pPr>
      <w:r>
        <w:t xml:space="preserve">6. Bemessungsgrundlagen zu ermitteln und Steuern einschließlich der steuerlichen Nebenleistungen zu berechnen,</w:t>
      </w:r>
    </w:p>
    <w:p>
      <w:pPr>
        <w:ind w:left="420"/>
      </w:pPr>
      <w:r>
        <w:t xml:space="preserve">7. Steuererklärungen vorzubereiten und</w:t>
      </w:r>
    </w:p>
    <w:p>
      <w:pPr>
        <w:ind w:left="420"/>
      </w:pPr>
      <w:r>
        <w:t xml:space="preserve">8. steuer- und verfahrensrechtliche Regelungen unter Berücksichtigung von Fristen einzuhalten.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130 Minuten.</w:t>
      </w:r>
    </w:p>
    <w:p>
      <w:r>
        <w:rPr>
          <w:color w:val="555555"/>
          <w:sz w:val="17"/>
        </w:rPr>
        <w:t xml:space="preserve">Zitiervorschlag: § 14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