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StDAV</w:t>
      </w:r>
    </w:p>
    <w:p>
      <w:r>
        <w:rPr>
          <w:color w:val="555555"/>
          <w:sz w:val="18"/>
        </w:rPr>
        <w:t xml:space="preserve">Steuerdaten-Abrufverordnung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 Abs. 6 Satz 2 und 3 der Abgabenordnung in der Fassung der Bekanntmachung vom 1. Oktober 2002 (BGBl. I S. 3866, 2003 I S. 61) verordnet das Bundesministerium der Finanzen:</w:t>
      </w:r>
    </w:p>
    <w:p>
      <w:r>
        <w:rPr>
          <w:color w:val="555555"/>
          <w:sz w:val="17"/>
        </w:rPr>
        <w:t xml:space="preserve">Zitiervorschlag: Eingangsformel StDAV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https://recht.nulegal.eu/gesetze/StDAV/eingangsformel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