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StDAV — Abrufe durch den Steuerpflichtigen</w:t>
      </w:r>
    </w:p>
    <w:p>
      <w:r>
        <w:rPr>
          <w:color w:val="555555"/>
          <w:sz w:val="18"/>
        </w:rPr>
        <w:t xml:space="preserve">Steuerdaten-Abrufverordnung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Verfahren, die dem Steuerpflichtigen (§ 33 der Abgabenordnung) den Abruf ihn betreffender personenbezogener Daten ermöglichen, gelten die §§ 1 bis 8 entsprechend. Satz 1 ist auch anzuwenden, wenn anstelle des Steuerpflichtigen seinem gesetzlichen Vertreter, Vermögensverwalter, Verfügungsberechtigten, Bevollmächtigten oder Beistand eine Abrufberechtigung erteilt wird.</w:t>
      </w:r>
    </w:p>
    <w:p>
      <w:r>
        <w:rPr>
          <w:color w:val="555555"/>
          <w:sz w:val="17"/>
        </w:rPr>
        <w:t xml:space="preserve">Zitiervorschlag: § 9 StDAV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https://recht.nulegal.eu/gesetze/StDAV/9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