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StDAV — Prüfung der Zulässigkeit der Abrufe</w:t>
      </w:r>
    </w:p>
    <w:p>
      <w:r>
        <w:rPr>
          <w:color w:val="555555"/>
          <w:sz w:val="18"/>
        </w:rPr>
        <w:t xml:space="preserve">Steuerdaten-Abrufverordnung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Anhand der Aufzeichnungen ist zeitnah und in angemessenem Umfang zu prüfen, ob der Abruf nach § 30 Abs. 6 Satz 1 der Abgabenordnung und nach dieser Verordnung zulässig war. Unbeschadet des Satzes 1 können aufgezeichnete Abrufe anlassbezogen geprüft werden.</w:t>
      </w:r>
    </w:p>
    <w:p>
      <w:r>
        <w:rPr>
          <w:color w:val="555555"/>
          <w:sz w:val="17"/>
        </w:rPr>
        <w:t xml:space="preserve">Zitiervorschlag: § 7 StDAV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https://recht.nulegal.eu/gesetze/StDAV/7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