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StDAV — Maßnahmen zur Wahrung des Steuergeheimnisses</w:t>
      </w:r>
    </w:p>
    <w:p>
      <w:r>
        <w:rPr>
          <w:color w:val="555555"/>
          <w:sz w:val="18"/>
        </w:rPr>
        <w:t xml:space="preserve">Steuerdaten-Abrufverordnung</w:t>
      </w:r>
    </w:p>
    <w:p>
      <w:r>
        <w:rPr>
          <w:color w:val="555555"/>
          <w:sz w:val="18"/>
        </w:rPr>
        <w:t xml:space="preserve">Stand: 10.06.2019 (konsolidierte Textfassung, kein amtliches Inkrafttretensdatum)</w:t>
      </w:r>
    </w:p>
    <w:p>
      <w:r>
        <w:t xml:space="preserve">(1) Es sind angemessene organisatorische und dem jeweiligen Stand der Technik entsprechende technische Vorkehrungen zur Wahrung des Steuergeheimnisses zu treffen. Hierzu zählen insbesondere Maßnahmen, die sicherstellen, dass</w:t>
      </w:r>
    </w:p>
    <w:p>
      <w:pPr>
        <w:ind w:left="420"/>
      </w:pPr>
      <w:r>
        <w:t xml:space="preserve">1. Unbefugten der Zutritt zu Datenverarbeitungsanlagen, mit denen die in § 1 Satz 1 bezeichneten Daten abgerufen werden können, verwehrt wird (Zutrittskontrolle),</w:t>
      </w:r>
    </w:p>
    <w:p>
      <w:pPr>
        <w:ind w:left="420"/>
      </w:pPr>
      <w:r>
        <w:t xml:space="preserve">2. Datenverarbeitungssysteme nicht unbefugt zum Abruf genutzt werden können (Zugangskontrolle),</w:t>
      </w:r>
    </w:p>
    <w:p>
      <w:pPr>
        <w:ind w:left="420"/>
      </w:pPr>
      <w:r>
        <w:t xml:space="preserve">3. die zur Benutzung eines Datenverarbeitungssystems zum Datenabruf Befugten ausschließlich auf die ihrer Zugriffsbefugnis unterliegenden Daten zugreifen können und dass die Daten während des Abrufs nicht unbefugt gelesen oder kopiert werden können (Zugriffskontrolle),</w:t>
      </w:r>
    </w:p>
    <w:p>
      <w:pPr>
        <w:ind w:left="420"/>
      </w:pPr>
      <w:r>
        <w:t xml:space="preserve">4. überprüft und festgestellt werden kann, wer personenbezogene Daten abrufen darf oder abgerufen hat (Weitergabekontrolle).</w:t>
      </w:r>
    </w:p>
    <w:p>
      <w:r>
        <w:t xml:space="preserve">(2) Abrufverfahren zur Übermittlung von Daten an Empfänger außerhalb der für die Speicherung verantwortlichen Stelle sollen nur eingerichtet werden, wenn es wegen der Vielzahl der Übermittlungen oder wegen ihrer besonderen Eilbedürftigkeit unter Berücksichtigung der schutzwürdigen Interessen der Betroffenen angemessen ist.</w:t>
      </w:r>
    </w:p>
    <w:p>
      <w:r>
        <w:rPr>
          <w:color w:val="555555"/>
          <w:sz w:val="17"/>
        </w:rPr>
        <w:t xml:space="preserve">Zitiervorschlag: § 2 StDAV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https://recht.nulegal.eu/gesetze/StDAV/2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