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StDAV — Anwendungsbereich</w:t>
      </w:r>
    </w:p>
    <w:p>
      <w:r>
        <w:rPr>
          <w:color w:val="555555"/>
          <w:sz w:val="18"/>
        </w:rPr>
        <w:t xml:space="preserve">Steuerdaten-Abrufverordnung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regelt den automatisierten Abruf von nach § 30 der Abgabenordnung geschützten Daten (Abrufverfahren), die für eines der in § 30 Absatz 2 Nummer 1 der Abgabenordnung genannten Verfahren in einem automationsgestützten Dateisystem gespeichert sind.</w:t>
      </w:r>
    </w:p>
    <w:p>
      <w:r>
        <w:t xml:space="preserve">(2) Diese Verordnung gilt nicht für Abrufverfahren, die Verbrauchsteuern und Verbrauchsteuervergütungen oder Ein- und Ausfuhrabgaben nach Artikel 5 Nummer 20 und 21 des Zollkodex der Union betreffen. Zollkodex der Union ist die Verordnung gemäß § 3 Absatz 3 der Abgabenordnung.</w:t>
      </w:r>
    </w:p>
    <w:p>
      <w:r>
        <w:rPr>
          <w:color w:val="555555"/>
          <w:sz w:val="17"/>
        </w:rPr>
        <w:t xml:space="preserve">Zitiervorschlag: § 1 StDAV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https://recht.nulegal.eu/gesetze/StDAV/1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