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StBerG — Steuerberater oder Steuerbevollmächtigte als Beisitzer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Beisitzer aus den Reihen der Steuerberater oder Steuerbevollmächtigten sind ehrenamtliche Richter.</w:t>
      </w:r>
    </w:p>
    <w:p>
      <w:r>
        <w:t xml:space="preserve">(2) Die ehrenamtlichen Richter werden für die Gerichte des ersten und zweiten Rechtszugs von der Landesjustizverwaltung auf die Dauer von fünf Jahren berufen. Sie können nach Ablauf ihrer Amtszeit wiederberufen werden.</w:t>
      </w:r>
    </w:p>
    <w:p>
      <w:r>
        <w:t xml:space="preserve">(3) Die ehrenamtlichen Richter werden den Vorschlagslisten entnommen, die die Vorstände der Steuerberaterkammern der Landesjustizverwaltung einreichen. Die Landesjustizverwaltung bestimmt, welche Zahl von ehrenamtlichen Richtern für jedes Gericht erforderlich ist; sie hat vorher die Vorstände der Steuerberaterkammern zu hören. Jede Vorschlagsliste soll mindestens die doppelte Zahl der zu berufenden Steuerberater oder Steuerbevollmächtigten enthalten.</w:t>
      </w:r>
    </w:p>
    <w:p>
      <w:r>
        <w:t xml:space="preserve">(4) Scheidet ein ehrenamtlicher Richter vorzeitig aus, so wird für den Rest seiner Amtszeit ein Nachfolger berufen.</w:t>
      </w:r>
    </w:p>
    <w:p>
      <w:r>
        <w:t xml:space="preserve">(5) Die Absätze 1 bis 4 finden auf die ehrenamtlichen Richter des Senats für Steuerberater- und Steuerbevollmächtigtensachen beim Bundesgerichtshof mit der Maßgabe Anwendung, daß an Stelle der Steuerberaterkammern die Bundessteuerberaterkammer und an Stelle der Landesjustizverwaltung das Bundesministerium der Justiz und für Verbraucherschutz treten.</w:t>
      </w:r>
    </w:p>
    <w:p>
      <w:r>
        <w:t xml:space="preserve">(6) Die Landesregierungen werden ermächtigt, die Aufgaben und Befugnisse, die den Landesjustizverwaltungen nach den Absätzen 2 und 3 zustehen, durch Rechtsverordnung auf diesen nachgeordnete Behörden zu übertragen. Die Landesregierungen können diese Ermächtigung durch Rechtsverordnung auf die Landesjustizverwaltungen übertragen.</w:t>
      </w:r>
    </w:p>
    <w:p>
      <w:r>
        <w:rPr>
          <w:color w:val="555555"/>
          <w:sz w:val="17"/>
        </w:rPr>
        <w:t xml:space="preserve">Zitiervorschlag: § 99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