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StBerG — Senat für Steuerberater- und Steuerbevollmächtigtensachen beim Oberlandesgericht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dem berufsgerichtlichen Verfahren entscheidet im zweiten Rechtszug ein Senat des Oberlandesgerichts (Senat für Steuerberater- und Steuerbevollmächtigtensachen beim Oberlandesgericht).</w:t>
      </w:r>
    </w:p>
    <w:p>
      <w:r>
        <w:t xml:space="preserve">(2) § 95 Abs. 2 und 3 findet entsprechende Anwendung. Die Steuerberater- und Steuerbevollmächtigtensachen können auch dem obersten Landesgericht zugewiesen oder übertragen werden.</w:t>
      </w:r>
    </w:p>
    <w:p>
      <w:r>
        <w:t xml:space="preserve">(3) Der Senat für Steuerberater- und Steuerbevollmächtigtensachen entscheidet außerhalb der Hauptverhandlung in der Besetzung von drei Mitgliedern des Oberlandesgerichts mit Einschluß des Vorsitzenden. In der Hauptverhandlung wirken außerdem als Beisitzer zwei Steuerberater oder Steuerbevollmächtigte mit.</w:t>
      </w:r>
    </w:p>
    <w:p>
      <w:r>
        <w:rPr>
          <w:color w:val="555555"/>
          <w:sz w:val="17"/>
        </w:rPr>
        <w:t xml:space="preserve">Zitiervorschlag: § 96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