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StBerG — Kammer für Steuerberater- und Steuerbevollmächtigtensachen beim Landgericht</w:t>
      </w:r>
    </w:p>
    <w:p>
      <w:r>
        <w:rPr>
          <w:color w:val="555555"/>
          <w:sz w:val="18"/>
        </w:rPr>
        <w:t xml:space="preserve">Steuerberatungsgesetz</w:t>
      </w:r>
    </w:p>
    <w:p>
      <w:r>
        <w:rPr>
          <w:color w:val="555555"/>
          <w:sz w:val="18"/>
        </w:rPr>
        <w:t xml:space="preserve">Stand: 10.06.2019 (konsolidierte Textfassung, kein amtliches Inkrafttretensdatum)</w:t>
      </w:r>
    </w:p>
    <w:p>
      <w:r>
        <w:t xml:space="preserve">(1) In dem berufsgerichtlichen Verfahren entscheidet im ersten Rechtszug eine Kammer des Landgerichts (Kammer für Steuerberater- und Steuerbevollmächtigtensachen), das für den Sitz der Steuerberaterkammer zuständig ist.</w:t>
      </w:r>
    </w:p>
    <w:p>
      <w:r>
        <w:t xml:space="preserve">(2) Bestehen in einem Land mehrere Steuerberaterkammern, so kann die Landesregierung durch Rechtsverordnung die Steuerberater- und Steuerbevollmächtigtensachen einem oder einigen der Landgerichte zuweisen, wenn eine solche Zusammenfassung der Rechtspflege in Steuerberater- und Steuerbevollmächtigtensachen, insbesondere der Sicherung einer einheitlichen Rechtsprechung, dienlich ist. Die Vorstände der beteiligten Steuerberaterkammern sind vorher zu hören.</w:t>
      </w:r>
    </w:p>
    <w:p>
      <w:r>
        <w:t xml:space="preserve">(3) Durch Vereinbarung der beteiligten Länder können die Aufgaben, für die nach diesem Gesetz das Landgericht eines Landes zuständig ist, einem Landgericht des anderen Landes übertragen werden.</w:t>
      </w:r>
    </w:p>
    <w:p>
      <w:r>
        <w:t xml:space="preserve">(4) Die Kammer für Steuerberater- und Steuerbevollmächtigtensachen entscheidet außerhalb der Hauptverhandlung in der Besetzung von drei Mitgliedern des Landgerichts mit Einschluß des Vorsitzenden. In der Hauptverhandlung ist sie mit dem Vorsitzenden und zwei Steuerberatern oder Steuerbevollmächtigten als Beisitzern besetzt.</w:t>
      </w:r>
    </w:p>
    <w:p>
      <w:r>
        <w:rPr>
          <w:color w:val="555555"/>
          <w:sz w:val="17"/>
        </w:rPr>
        <w:t xml:space="preserve">Zitiervorschlag: § 95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