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91 StBerG — Rüge und berufsgerichtliche Maßnahme</w:t>
      </w:r>
    </w:p>
    <w:p>
      <w:r>
        <w:rPr>
          <w:color w:val="555555"/>
          <w:sz w:val="18"/>
        </w:rPr>
        <w:t xml:space="preserve">Steuerberatungsgesetz</w:t>
      </w:r>
    </w:p>
    <w:p>
      <w:r>
        <w:rPr>
          <w:color w:val="555555"/>
          <w:sz w:val="18"/>
        </w:rPr>
        <w:t xml:space="preserve">Stand: 01.08.2022 (konsolidierte Textfassung, kein amtliches Inkrafttretensdatum)</w:t>
      </w:r>
    </w:p>
    <w:p>
      <w:r>
        <w:t xml:space="preserve">(1) Der Einleitung eines berufsgerichtlichen Verfahrens steht es nicht entgegen, daß der Vorstand der Steuerberaterkammer bereits wegen desselben Verhaltens eine Rüge erteilt hat (§ 81). Hat das Landgericht den Rügebescheid aufgehoben (§ 82), weil es eine Pflichtverletzung nach § 89 Absatz 1 bis 3 nicht festgestellt hat, so kann ein berufsgerichtliches Verfahren wegen desselben Verhaltens nur auf Grund solcher Tatsachen oder Beweismittel eingeleitet werden, die dem Landgericht bei seiner Entscheidung nicht bekannt waren.</w:t>
      </w:r>
    </w:p>
    <w:p>
      <w:r>
        <w:t xml:space="preserve">(2) Die Rüge wird mit der Rechtskraft eines berufsgerichtlichen Urteils unwirksam, das wegen desselben Verhaltens gegen das Mitglied der Steuerberaterkammer ergeht und auf Freispruch oder eine berufsgerichtliche Maßnahme lautet. Die Rüge wird auch unwirksam, wenn rechtskräftig die Eröffnung des Hauptverfahrens abgelehnt ist, weil eine Pflichtverletzung nach § 89 Absatz 1 bis 3 nicht festzustellen ist.</w:t>
      </w:r>
    </w:p>
    <w:p>
      <w:r>
        <w:rPr>
          <w:color w:val="555555"/>
          <w:sz w:val="17"/>
        </w:rPr>
        <w:t xml:space="preserve">Zitiervorschlag: § 91 StBerG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https://recht.nulegal.eu/gesetze/StBerG/91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