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90 StBerG — Berufsgerichtliche Maßnahmen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Die berufsgerichtlichen Maßnahmen sind bei Verfahren gegen Steuerberater oder Steuerbevollmächtigte</w:t>
      </w:r>
    </w:p>
    <w:p>
      <w:pPr>
        <w:ind w:left="420"/>
      </w:pPr>
      <w:r>
        <w:t xml:space="preserve">1. Warnung,</w:t>
      </w:r>
    </w:p>
    <w:p>
      <w:pPr>
        <w:ind w:left="420"/>
      </w:pPr>
      <w:r>
        <w:t xml:space="preserve">2. Verweis,</w:t>
      </w:r>
    </w:p>
    <w:p>
      <w:pPr>
        <w:ind w:left="420"/>
      </w:pPr>
      <w:r>
        <w:t xml:space="preserve">3. Geldbuße bis zu fünfzigtausend Euro,</w:t>
      </w:r>
    </w:p>
    <w:p>
      <w:pPr>
        <w:ind w:left="420"/>
      </w:pPr>
      <w:r>
        <w:t xml:space="preserve">4. Berufsverbot für die Dauer von einem bis zu fünf Jahren,</w:t>
      </w:r>
    </w:p>
    <w:p>
      <w:pPr>
        <w:ind w:left="420"/>
      </w:pPr>
      <w:r>
        <w:t xml:space="preserve">5. Ausschließung aus dem Beruf.</w:t>
      </w:r>
    </w:p>
    <w:p>
      <w:r>
        <w:t xml:space="preserve">(1a) Im Fall des § 76 Absatz 2 Satz 2 tritt an die Stelle der Ausschließung aus dem Beruf</w:t>
      </w:r>
    </w:p>
    <w:p>
      <w:pPr>
        <w:ind w:left="420"/>
      </w:pPr>
      <w:r>
        <w:t xml:space="preserve">1. bei Mitgliedern von Geschäftsführungsorganen die Aberkennung der Eignung, eine Berufsausübungsgesellschaft zu vertreten und ihre Geschäfte zu führen, und</w:t>
      </w:r>
    </w:p>
    <w:p>
      <w:pPr>
        <w:ind w:left="420"/>
      </w:pPr>
      <w:r>
        <w:t xml:space="preserve">2. bei Mitgliedern von Aufsichtsorganen die Aberkennung der Eignung, Aufsichtsfunktionen einer Berufsausübungsgesellschaft wahrzunehmen.</w:t>
      </w:r>
    </w:p>
    <w:p>
      <w:r>
        <w:t xml:space="preserve">(2) Berufsgerichtliche Maßnahmen bei Verfahren gegen Berufsausübungsgesellschaften sind</w:t>
      </w:r>
    </w:p>
    <w:p>
      <w:pPr>
        <w:ind w:left="420"/>
      </w:pPr>
      <w:r>
        <w:t xml:space="preserve">1. Warnung,</w:t>
      </w:r>
    </w:p>
    <w:p>
      <w:pPr>
        <w:ind w:left="420"/>
      </w:pPr>
      <w:r>
        <w:t xml:space="preserve">2. Verweis,</w:t>
      </w:r>
    </w:p>
    <w:p>
      <w:pPr>
        <w:ind w:left="420"/>
      </w:pPr>
      <w:r>
        <w:t xml:space="preserve">3. Geldbuße bis zu fünfhunderttausend Euro,</w:t>
      </w:r>
    </w:p>
    <w:p>
      <w:pPr>
        <w:ind w:left="420"/>
      </w:pPr>
      <w:r>
        <w:t xml:space="preserve">4. Berufsverbot für die Dauer von einem Jahr bis zu fünf Jahren,</w:t>
      </w:r>
    </w:p>
    <w:p>
      <w:pPr>
        <w:ind w:left="420"/>
      </w:pPr>
      <w:r>
        <w:t xml:space="preserve">5. Aberkennung der Befugnis zur geschäftsmäßigen Hilfeleistung in Steuersachen.</w:t>
      </w:r>
    </w:p>
    <w:p>
      <w:r>
        <w:t xml:space="preserve">(3) Die berufsgerichtlichen Maßnahmen des Verweises und der Geldbuße können nebeneinander verhängt werden.</w:t>
      </w:r>
    </w:p>
    <w:p>
      <w:r>
        <w:rPr>
          <w:color w:val="555555"/>
          <w:sz w:val="17"/>
        </w:rPr>
        <w:t xml:space="preserve">Zitiervorschlag: § 90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https://recht.nulegal.eu/gesetze/StBerG/90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