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StBerG — Staatsaufsicht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für die Finanzverwaltung zuständige oberste Landesbehörde führt die Aufsicht über die Steuerberaterkammern, die den Sitz im Lande haben.</w:t>
      </w:r>
    </w:p>
    <w:p>
      <w:r>
        <w:t xml:space="preserve">(2) Das Bundesministerium der Finanzen führt die Aufsicht über die Bundessteuerberaterkammer.</w:t>
      </w:r>
    </w:p>
    <w:p>
      <w:r>
        <w:t xml:space="preserve">(3) Die Aufsicht beschränkt sich darauf, dass Gesetz und Satzung beachtet, insbesondere die den Steuerberaterkammern übertragenen Aufgaben erfüllt werden. Die Aufsichtsbehörden können die hierzu erforderlichen Anordnungen und Maßnahmen treffen.</w:t>
      </w:r>
    </w:p>
    <w:p>
      <w:r>
        <w:rPr>
          <w:color w:val="555555"/>
          <w:sz w:val="17"/>
        </w:rPr>
        <w:t xml:space="preserve">Zitiervorschlag: § 88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https://recht.nulegal.eu/gesetze/StBerG/88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