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87a StBerG — Wirtschaftsplan, Rechnungslegung</w:t>
      </w:r>
    </w:p>
    <w:p>
      <w:r>
        <w:rPr>
          <w:color w:val="555555"/>
          <w:sz w:val="18"/>
        </w:rPr>
        <w:t xml:space="preserve">Steuerberatungsgesetz</w:t>
      </w:r>
    </w:p>
    <w:p>
      <w:r>
        <w:rPr>
          <w:color w:val="555555"/>
          <w:sz w:val="18"/>
        </w:rPr>
        <w:t xml:space="preserve">Stand: 10.06.2019 (konsolidierte Textfassung, kein amtliches Inkrafttretensdatum)</w:t>
      </w:r>
    </w:p>
    <w:p>
      <w:r>
        <w:t xml:space="preserve">(1) Die Bundessteuerberaterkammer ist berechtigt, abweichend von den Bestimmungen der Bundeshaushaltsordnung einen Wirtschaftsplan aufzustellen, die Bücher nach den Regeln der kaufmännischen Buchführung zu führen und einen Jahresabschluss sowie einen Lagebericht nach handelsrechtlichen Grundsätzen zu erstellen.</w:t>
      </w:r>
    </w:p>
    <w:p>
      <w:r>
        <w:t xml:space="preserve">(2) Näheres regelt die Satzung der Bundessteuerberaterkammer. § 109 Abs. 2 der Bundeshaushaltsordnung ist anzuwenden.</w:t>
      </w:r>
    </w:p>
    <w:p>
      <w:r>
        <w:t xml:space="preserve">(3) Die §§ 7, 9 und 24 der Bundeshaushaltsordnung sowie die Vorschriften des Teils III der Bundeshaushaltsordnung gelten entsprechend mit Ausnahme der §§ 38 und 45 sowie der Bestimmungen, die eine Buchung nach Einnahmen und Ausgaben voraussetzen. Das Bundesministerium der Finanzen wird ermächtigt, weitere Ausnahmen von der Anwendung der Vorschriften der Bundeshaushaltsordnung zuzulassen.</w:t>
      </w:r>
    </w:p>
    <w:p>
      <w:r>
        <w:t xml:space="preserve">(4) Für das Prüfungsrecht des Bundesrechnungshofes gilt § 111 Abs. 1 der Bundeshaushaltsordnung.</w:t>
      </w:r>
    </w:p>
    <w:p>
      <w:r>
        <w:rPr>
          <w:color w:val="555555"/>
          <w:sz w:val="17"/>
        </w:rPr>
        <w:t xml:space="preserve">Zitiervorschlag: § 87a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