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86f StBerG — Verordnungsermächtigung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Bundesministerium der Finanzen wird ermächtigt, durch Rechtsverordnung nach Anhörung der Bundessteuerberaterkammer und mit Zustimmung des Bundesrates die Einzelheiten zu regeln</w:t>
      </w:r>
    </w:p>
    <w:p>
      <w:pPr>
        <w:ind w:left="420"/>
      </w:pPr>
      <w:r>
        <w:t xml:space="preserve">1. der Steuerberaterplattform, insbesondere</w:t>
      </w:r>
    </w:p>
    <w:p>
      <w:pPr>
        <w:ind w:left="780"/>
      </w:pPr>
      <w:r>
        <w:t xml:space="preserve">a) ihrer Einrichtung und der hierzu erforderlichen Datenübermittlung,</w:t>
      </w:r>
    </w:p>
    <w:p>
      <w:pPr>
        <w:ind w:left="780"/>
      </w:pPr>
      <w:r>
        <w:t xml:space="preserve">b) ihrer technischen Ausgestaltung einschließlich ihrer Barrierefreiheit,</w:t>
      </w:r>
    </w:p>
    <w:p>
      <w:pPr>
        <w:ind w:left="780"/>
      </w:pPr>
      <w:r>
        <w:t xml:space="preserve">c) der Einrichtung von Nutzerkonten und der Ausgestaltung des Registrierungsverfahrens,</w:t>
      </w:r>
    </w:p>
    <w:p>
      <w:pPr>
        <w:ind w:left="780"/>
      </w:pPr>
      <w:r>
        <w:t xml:space="preserve">d) der Verwendung der Nutzerkonten,</w:t>
      </w:r>
    </w:p>
    <w:p>
      <w:pPr>
        <w:ind w:left="780"/>
      </w:pPr>
      <w:r>
        <w:t xml:space="preserve">e) der Ausgestaltung eines föderierten Ansatzes für das Identitätsmanagement und</w:t>
      </w:r>
    </w:p>
    <w:p>
      <w:pPr>
        <w:ind w:left="780"/>
      </w:pPr>
      <w:r>
        <w:t xml:space="preserve">f) der Löschung von Nutzerkonten;</w:t>
      </w:r>
    </w:p>
    <w:p>
      <w:pPr>
        <w:ind w:left="420"/>
      </w:pPr>
      <w:r>
        <w:t xml:space="preserve">2. der besonderen elektronischen Steuerberaterpostfächer, insbesondere:</w:t>
      </w:r>
    </w:p>
    <w:p>
      <w:pPr>
        <w:ind w:left="780"/>
      </w:pPr>
      <w:r>
        <w:t xml:space="preserve">a) ihrer Einrichtung und der hierzu erforderlichen Datenübermittlung,</w:t>
      </w:r>
    </w:p>
    <w:p>
      <w:pPr>
        <w:ind w:left="780"/>
      </w:pPr>
      <w:r>
        <w:t xml:space="preserve">b) ihrer technischen Ausgestaltung einschließlich ihrer Barrierefreiheit,</w:t>
      </w:r>
    </w:p>
    <w:p>
      <w:pPr>
        <w:ind w:left="780"/>
      </w:pPr>
      <w:r>
        <w:t xml:space="preserve">c) ihrer Führung,</w:t>
      </w:r>
    </w:p>
    <w:p>
      <w:pPr>
        <w:ind w:left="780"/>
      </w:pPr>
      <w:r>
        <w:t xml:space="preserve">d) der Zugangsberechtigung und der Nutzung,</w:t>
      </w:r>
    </w:p>
    <w:p>
      <w:pPr>
        <w:ind w:left="780"/>
      </w:pPr>
      <w:r>
        <w:t xml:space="preserve">e) des Löschens von Nachrichten und</w:t>
      </w:r>
    </w:p>
    <w:p>
      <w:pPr>
        <w:ind w:left="780"/>
      </w:pPr>
      <w:r>
        <w:t xml:space="preserve">f) ihrer Löschung.</w:t>
      </w:r>
    </w:p>
    <w:p>
      <w:r>
        <w:rPr>
          <w:color w:val="555555"/>
          <w:sz w:val="17"/>
        </w:rPr>
        <w:t xml:space="preserve">Zitiervorschlag: § 86f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https://recht.nulegal.eu/gesetze/StBerG/86f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