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86e StBerG — Besonderes elektronisches Steuerberaterpostfach für Berufsausübungsgesellschaften</w:t>
      </w:r>
    </w:p>
    <w:p>
      <w:r>
        <w:rPr>
          <w:color w:val="555555"/>
          <w:sz w:val="18"/>
        </w:rPr>
        <w:t xml:space="preserve">Steuerberatungsgesetz</w:t>
      </w:r>
    </w:p>
    <w:p>
      <w:r>
        <w:rPr>
          <w:color w:val="555555"/>
          <w:sz w:val="18"/>
        </w:rPr>
        <w:t xml:space="preserve">Stand: 01.07.2023 (konsolidierte Textfassung, kein amtliches Inkrafttretensdatum)</w:t>
      </w:r>
    </w:p>
    <w:p>
      <w:r>
        <w:t xml:space="preserve">(1) Die Bundessteuerberaterkammer richtet für jede im Steuerberaterverzeichnis eingetragene Berufsausübungsgesellschaft ein besonderes elektronisches Steuerberaterpostfach empfangsbereit ein.</w:t>
      </w:r>
    </w:p>
    <w:p>
      <w:r>
        <w:t xml:space="preserve">(2) Die Steuerberaterkammer übermittelt der Bundessteuerberaterkammer zum Zweck der Einrichtung des besonderen elektronischen Steuerberaterpostfachs den Namen oder die Firma, die Rechtsform und eine zustellungsfähige Anschrift der Berufsausübungsgesellschaft sowie die Familiennamen und den oder die Vornamen und die Berufe der gesetzlich vertretungsberechtigten Steuerberater, Steuerbevollmächtigten, Rechtsanwälte, Wirtschaftsprüfer und vereidigten Buchprüfer, die befugt sind, für Berufsausübungsgesellschaften Dokumente mit einer nicht-qualifizierten elektronischen Signatur auf einem sicheren Übermittlungsweg zu versenden. Satz 1 gilt entsprechend für die nach § 76a Absatz 1 Nummer 2 Buchstabe i in das Berufsregister eingetragenen Personen.</w:t>
      </w:r>
    </w:p>
    <w:p>
      <w:r>
        <w:t xml:space="preserve">(3) Die Bundessteuerberaterkammer hebt die Zugangsberechtigung zu einem nach Absatz 1 eingerichteten besonderen elektronischen Steuerberaterpostfach auf, wenn die Registrierung oder die Anerkennung als Berufsausübungsgesellschaft aus einem anderen Grund als dem Wechsel der Steuerberaterkammer erlischt.</w:t>
      </w:r>
    </w:p>
    <w:p>
      <w:r>
        <w:t xml:space="preserve">(4) Im Übrigen gilt für nach Absatz 1 eingerichtete besondere elektronische Steuerberaterpostfächer § 86d Absatz 1 Satz 2, Absatz 2 Satz 2, Absatz 3 und 4 Satz 2 sowie Absatz 6 entsprechend.</w:t>
      </w:r>
    </w:p>
    <w:p>
      <w:r>
        <w:t xml:space="preserve">(5) Für die Einrichtung weiterer besonderer elektronischer Steuerberaterpostfächer für im Berufsregister eingetragene weitere Beratungsstellen von Berufsausübungsgesellschaften gilt § 86d Absatz 7 entsprechend. Bei Berufsausübungsgesellschaften, die nicht anerkannt werden sollen, ist der Antrag bei derjenigen Steuerberaterkammer zu stellen, die für deren Eintragung in das Berufsregister zuständig ist.</w:t>
      </w:r>
    </w:p>
    <w:p>
      <w:r>
        <w:rPr>
          <w:color w:val="555555"/>
          <w:sz w:val="17"/>
        </w:rPr>
        <w:t xml:space="preserve">Zitiervorschlag: § 86e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https://recht.nulegal.eu/gesetze/StBerG/86e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