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86c StBerG — Steuerberaterplattform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26.10.2024 (konsolidierte Textfassung, kein amtliches Inkrafttretensdatum)</w:t>
      </w:r>
    </w:p>
    <w:p>
      <w:r>
        <w:t xml:space="preserve">(1) Die Mitglieder der Steuerberaterkammern sowie die nach § 76a Absatz 2 in das Berufsregister eingetragenen Berufsausübungsgesellschaften sind verpflichtet, sich bei der Steuerberaterplattform mit dem für sie eingerichteten Nutzerkonto zu registrieren.</w:t>
      </w:r>
    </w:p>
    <w:p>
      <w:r>
        <w:t xml:space="preserve">(2) Die Bundessteuerberaterkammer prüft die Identität des Steuerberaters, des Steuerbevollmächtigten oder der Leitungspersonen einer Berufsausübungsgesellschaft im Sinne des § 89a Nummer 1 oder 2 anhand eines elektronischen Identitätsnachweises nach § 18 des Personalausweisgesetzes oder eines gleichwertigen Verfahrens. Die Bundessteuerberaterkammer greift zur Prüfung der Identität und der Berufsträgereigenschaft auf die von den Steuerberaterkammern im Berufsregister gespeicherten Daten zu.</w:t>
      </w:r>
    </w:p>
    <w:p>
      <w:r>
        <w:t xml:space="preserve">(3) Die Bundessteuerberaterkammer hat sicherzustellen, dass der Zugang zur Steuerberaterplattform nur durch ein sicheres Verfahren mit zwei voneinander unabhängigen Sicherungsmitteln möglich ist.</w:t>
      </w:r>
    </w:p>
    <w:p>
      <w:r>
        <w:t xml:space="preserve">(4) Die Bundessteuerberaterkammer ist befugt, eine digitale Schnittstelle zwischen der Steuerberaterplattform und der Vollmachtsdatenbank nach § 85a Absatz 2 Nummer 12 einzurichten.</w:t>
      </w:r>
    </w:p>
    <w:p>
      <w:r>
        <w:t xml:space="preserve">(5) Die Bundessteuerberaterkammer kann von Fachsoftwareanbietern für die Nutzung der Steuerberaterplattform Nutzungsentgelte oder Lizenzgebühren verlangen.</w:t>
      </w:r>
    </w:p>
    <w:p>
      <w:r>
        <w:t xml:space="preserve">(6) Die Bundessteuerberaterkammer ist für die Einhaltung der technischen und datenschutzrechtlichen Vorgaben nach § 86f verantwortlich. Sie kann gegenüber Dritten, die die Steuerberaterplattform nutzen, die Einhaltung technischer und datenschutzrechtlicher Standards vorgeben.</w:t>
      </w:r>
    </w:p>
    <w:p>
      <w:r>
        <w:rPr>
          <w:color w:val="555555"/>
          <w:sz w:val="17"/>
        </w:rPr>
        <w:t xml:space="preserve">Zitiervorschlag: § 86c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https://recht.nulegal.eu/gesetze/StBerG/86c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