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77c StBerG — Vorzeitiges Ausscheiden eines Vorstandsmitglieds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Ist ein Mitglied des Vorstands nicht mehr Mitglied der Steuerberaterkammer oder verliert es seine Wählbarkeit aus den in § 77 Absatz 3 Nummer 3, 4 und 6 genannten Gründen, scheidet es aus dem Vorstand aus.</w:t>
      </w:r>
    </w:p>
    <w:p>
      <w:r>
        <w:t xml:space="preserve">(2) Wird gegen ein Mitglied des Vorstands eine der in § 77 Absatz 3 Nummer 1 oder 2 genannten Maßnahmen verhängt oder angeordnet, ruht seine Mitgliedschaft für die Dauer der Maßnahme.</w:t>
      </w:r>
    </w:p>
    <w:p>
      <w:r>
        <w:t xml:space="preserve">(3) Die Satzung der Steuerberaterkammer kann weitere Gründe vorsehen, die zum Ausscheiden aus dem Vorstand oder zum Ruhen der dortigen Mitgliedschaft führen.</w:t>
      </w:r>
    </w:p>
    <w:p>
      <w:r>
        <w:rPr>
          <w:color w:val="555555"/>
          <w:sz w:val="17"/>
        </w:rPr>
        <w:t xml:space="preserve">Zitiervorschlag: § 77c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https://recht.nulegal.eu/gesetze/StBerG/77c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