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77a StBerG — Abteilungen des Vorstandes</w:t>
      </w:r>
    </w:p>
    <w:p>
      <w:r>
        <w:rPr>
          <w:color w:val="555555"/>
          <w:sz w:val="18"/>
        </w:rPr>
        <w:t xml:space="preserve">Steuerberatungsgesetz</w:t>
      </w:r>
    </w:p>
    <w:p>
      <w:r>
        <w:rPr>
          <w:color w:val="555555"/>
          <w:sz w:val="18"/>
        </w:rPr>
        <w:t xml:space="preserve">Stand: 26.10.2024 (konsolidierte Textfassung, kein amtliches Inkrafttretensdatum)</w:t>
      </w:r>
    </w:p>
    <w:p>
      <w:r>
        <w:t xml:space="preserve">(1) Der Vorstand kann mehrere Abteilungen bilden, wenn die Satzung der Steuerberaterkammer es zuläßt. Er überträgt den Abteilungen die Geschäfte, die sie selbständig führen.</w:t>
      </w:r>
    </w:p>
    <w:p>
      <w:r>
        <w:t xml:space="preserve">(2) Jede Abteilung muß aus mindestens drei Mitgliedern des Vorstandes bestehen. Die Mitglieder der Abteilung wählen aus ihren Reihen einen Abteilungsvorsitzenden, einen Abteilungsschriftführer und deren Stellvertreter.</w:t>
      </w:r>
    </w:p>
    <w:p>
      <w:r>
        <w:t xml:space="preserve">(3) Der Vorstand setzt die Zahl der Abteilungen und ihrer Mitglieder fest, überträgt den Abteilungen die Geschäfte und bestimmt die Mitglieder der einzelnen Abteilungen. Jedes Mitglied des Vorstandes kann mehreren Abteilungen angehören.</w:t>
      </w:r>
    </w:p>
    <w:p>
      <w:r>
        <w:t xml:space="preserve">(4) Die Abteilungen besitzen innerhalb ihrer Zuständigkeit die Rechte und Pflichten des Vorstandes.</w:t>
      </w:r>
    </w:p>
    <w:p>
      <w:r>
        <w:t xml:space="preserve">(5) Anstelle der Abteilung entscheidet der Vorstand, wenn er es für angemessen hält oder wenn die Abteilung oder ihr Vorsitzender es beantragt.</w:t>
      </w:r>
    </w:p>
    <w:p>
      <w:r>
        <w:rPr>
          <w:color w:val="555555"/>
          <w:sz w:val="17"/>
        </w:rPr>
        <w:t xml:space="preserve">Zitiervorschlag: § 77a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https://recht.nulegal.eu/gesetze/StBerG/77a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