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76c StBerG — Mitteilungspflichten; Einsicht in das Berufsregister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24.03.2023 (konsolidierte Textfassung, kein amtliches Inkrafttretensdatum)</w:t>
      </w:r>
    </w:p>
    <w:p>
      <w:r>
        <w:t xml:space="preserve">(1) Die in das Berufsregister einzutragenden Tatsachen sind der zuständigen Steuerberaterkammer von folgenden Personen mitzuteilen:</w:t>
      </w:r>
    </w:p>
    <w:p>
      <w:pPr>
        <w:ind w:left="420"/>
      </w:pPr>
      <w:r>
        <w:t xml:space="preserve">1. im Fall des § 76a Absatz 1 Nummer 1 von dem einzutragenden oder eingetragenen Steuerberater oder Steuerbevollmächtigten;</w:t>
      </w:r>
    </w:p>
    <w:p>
      <w:pPr>
        <w:ind w:left="420"/>
      </w:pPr>
      <w:r>
        <w:t xml:space="preserve">2. im Fall des § 76a Absatz 1 Nummer 2, auch in Verbindung mit § 76a Absatz 2, von den Mitgliedern des zur gesetzlichen Vertretung berufenen Organs oder den vertretungsberechtigten Gesellschaftern der einzutragenden oder eingetragenen Berufsausübungsgesellschaft;</w:t>
      </w:r>
    </w:p>
    <w:p>
      <w:pPr>
        <w:ind w:left="420"/>
      </w:pPr>
      <w:r>
        <w:t xml:space="preserve">3. im Fall des § 76a Absatz 1 Nummer 3 von dem Steuerberater oder Steuerbevollmächtigten, der die weitere Beratungsstelle errichtet hat;</w:t>
      </w:r>
    </w:p>
    <w:p>
      <w:pPr>
        <w:ind w:left="420"/>
      </w:pPr>
      <w:r>
        <w:t xml:space="preserve">4. im Fall des § 76a Absatz 1 Nummer 4, auch in Verbindung mit § 76a Absatz 2, von den Mitgliedern des zur gesetzlichen Vertretung berufenen Organs oder den vertretungsberechtigten Gesellschaftern der Berufsausübungsgesellschaft, die die weitere Beratungsstelle errichtet hat.</w:t>
      </w:r>
    </w:p>
    <w:p>
      <w:r>
        <w:t xml:space="preserve">(2) Die im Berufsregister zu löschenden Tatsachen sind der zuständigen Steuerberaterkammer von folgenden Personen mitzuteilen:</w:t>
      </w:r>
    </w:p>
    <w:p>
      <w:pPr>
        <w:ind w:left="420"/>
      </w:pPr>
      <w:r>
        <w:t xml:space="preserve">1. in den Fällen des § 76b Absatz 1 Nummer 1 Buchstabe b von dem Steuerberater oder Steuerbevollmächtigten, der seine berufliche Niederlassung verlegt;</w:t>
      </w:r>
    </w:p>
    <w:p>
      <w:pPr>
        <w:ind w:left="420"/>
      </w:pPr>
      <w:r>
        <w:t xml:space="preserve">2. in den Fällen des § 76b Absatz 1 Nummer 2 Buchstabe b und Nummer 3 von den Mitgliedern des zur gesetzlichen Vertretung berufenen Organs oder den vertretungsberechtigten Gesellschaftern der Berufsausübungsgesellschaft;</w:t>
      </w:r>
    </w:p>
    <w:p>
      <w:pPr>
        <w:ind w:left="420"/>
      </w:pPr>
      <w:r>
        <w:t xml:space="preserve">3. in den Fällen des § 76b Absatz 1 Nummer 4 von den in Absatz 1 Nummer 3 oder 4 genannten Personen;</w:t>
      </w:r>
    </w:p>
    <w:p>
      <w:pPr>
        <w:ind w:left="420"/>
      </w:pPr>
      <w:r>
        <w:t xml:space="preserve">4. in den Fällen des § 76b Absatz 2 von den Mitgliedern des zur gesetzlichen Vertretung berufenen Organs oder den vertretungsberechtigten Gesellschaftern der Berufsausübungsgesellschaft.</w:t>
      </w:r>
    </w:p>
    <w:p>
      <w:r>
        <w:t xml:space="preserve">(3) Alle Eintragungen und Löschungen im Berufsregister sind den Beteiligten mitzuteilen. Die Löschung von Berufsausübungsgesellschaften ist ferner dem zuständigen Registergericht mitzuteilen.</w:t>
      </w:r>
    </w:p>
    <w:p>
      <w:r>
        <w:t xml:space="preserve">(4) Die Einsicht in das Berufsregister soll gewährt werden, soweit die die Einsicht begehrende Person hierfür ein berechtigtes Interesse darlegt.</w:t>
      </w:r>
    </w:p>
    <w:p>
      <w:r>
        <w:rPr>
          <w:color w:val="555555"/>
          <w:sz w:val="17"/>
        </w:rPr>
        <w:t xml:space="preserve">Zitiervorschlag: § 76c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https://recht.nulegal.eu/gesetze/StBerG/76c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