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StBerG — Steuerberaterkammer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Steuerberater und Steuerbevollmächtigten, die in einem Oberfinanzbezirk oder durch die Landesregierung bestimmten Kammerbezirk ihre berufliche Niederlassung haben, bilden eine Berufskammer. Diese führt die Bezeichnung „Steuerberaterkammer“.</w:t>
      </w:r>
    </w:p>
    <w:p>
      <w:r>
        <w:t xml:space="preserve">(2) Die Steuerberaterkammer hat ihren Sitz im Kammerbezirk. Sie ist eine Körperschaft des öffentlichen Rechts.</w:t>
      </w:r>
    </w:p>
    <w:p>
      <w:r>
        <w:t xml:space="preserve">(3) Werden Oberfinanzdirektionen aufgelöst oder zusammengelegt, bleiben die bisher gebildeten Kammern bestehen. Der vormalige Geschäftsbereich einer aufgelösten Oberfinanzdirektion gilt als Kammerbezirk fort, soweit die Landesregierung nichts anderes bestimmt.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73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