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StBerG — Berufshaftpflichtversicherung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26.10.2024 (konsolidierte Textfassung, kein amtliches Inkrafttretensdatum)</w:t>
      </w:r>
    </w:p>
    <w:p>
      <w:r>
        <w:t xml:space="preserve">(1) Selbständige Steuerberater und Steuerbevollmächtigte sind verpflichtet, sich gegen die sich aus ihrer Berufstätigkeit nach den §§ 33 und 57 Absatz 3 Nummer 2 und 3 ergebenden Haftpflichtgefahren für Vermögensschäden zu versichern und diese Berufshaftpflichtversicherung während der Dauer ihrer Bestellung aufrechtzuerhalten.</w:t>
      </w:r>
    </w:p>
    <w:p>
      <w:r>
        <w:t xml:space="preserve">(2) Zuständige Stelle im Sinne des § 117 Absatz 2 des Versicherungsvertragsgesetzes ist die Steuerberaterkammer.</w:t>
      </w:r>
    </w:p>
    <w:p>
      <w:r>
        <w:t xml:space="preserve">(3) Die Steuerberaterkammer erteilt Dritten zur Geltendmachung von Schadenersatzansprüchen auf Antrag Auskunft über folgende Daten der Berufshaftpflichtversicherung des Steuerberaters oder des Steuerbevollmächtigten:</w:t>
      </w:r>
    </w:p>
    <w:p>
      <w:pPr>
        <w:ind w:left="420"/>
      </w:pPr>
      <w:r>
        <w:t xml:space="preserve">1. den Namen,</w:t>
      </w:r>
    </w:p>
    <w:p>
      <w:pPr>
        <w:ind w:left="420"/>
      </w:pPr>
      <w:r>
        <w:t xml:space="preserve">2. die Adresse und</w:t>
      </w:r>
    </w:p>
    <w:p>
      <w:pPr>
        <w:ind w:left="420"/>
      </w:pPr>
      <w:r>
        <w:t xml:space="preserve">3. die Versicherungsnummer.</w:t>
      </w:r>
    </w:p>
    <w:p>
      <w:r>
        <w:t xml:space="preserve">Satz 1 gilt nicht, soweit der Steuerberater oder der Steuerbevollmächtigte ein überwiegendes schutzwürdiges Interesse an der Nichterteilung der Auskunft hat.</w:t>
      </w:r>
    </w:p>
    <w:p>
      <w:r>
        <w:rPr>
          <w:color w:val="555555"/>
          <w:sz w:val="17"/>
        </w:rPr>
        <w:t xml:space="preserve">Zitiervorschlag: § 67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