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55e StBerG — Berufliche Niederlassung der Berufsausübungsgesellschaft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Berufsausübungsgesellschaft muss an ihrem Sitz eine berufliche Niederlassung unterhalten, in der oder in deren Nahbereich zumindest ein geschäftsführender Steuerberater oder Steuerbevollmächtigter tätig ist.</w:t>
      </w:r>
    </w:p>
    <w:p>
      <w:r>
        <w:t xml:space="preserve">(2) Berufsausübungsgesellschaften, die keinen Sitz im Inland haben, sind verpflichtet, eine weitere Beratungsstelle im Inland zu unterhalten oder einen Zustellungsbevollmächtigten mit Sitz im Inland zu benennen.</w:t>
      </w:r>
    </w:p>
    <w:p>
      <w:r>
        <w:t xml:space="preserve">(3) § 34 Absatz 2 ist entsprechend anzuwenden.</w:t>
      </w:r>
    </w:p>
    <w:p>
      <w:r>
        <w:rPr>
          <w:color w:val="555555"/>
          <w:sz w:val="17"/>
        </w:rPr>
        <w:t xml:space="preserve">Zitiervorschlag: § 55e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https://recht.nulegal.eu/gesetze/StBerG/55e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