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55a StBerG — Gesellschafter- und Kapitalstruktur von Berufsausübungsgesellschaften</w:t>
      </w:r>
    </w:p>
    <w:p>
      <w:r>
        <w:rPr>
          <w:color w:val="555555"/>
          <w:sz w:val="18"/>
        </w:rPr>
        <w:t xml:space="preserve">Steuerberatungsgesetz</w:t>
      </w:r>
    </w:p>
    <w:p>
      <w:r>
        <w:rPr>
          <w:color w:val="555555"/>
          <w:sz w:val="18"/>
        </w:rPr>
        <w:t xml:space="preserve">Stand: 03.07.2026 (konsolidierte Textfassung, kein amtliches Inkrafttretensdatum)</w:t>
      </w:r>
    </w:p>
    <w:p>
      <w:r>
        <w:t xml:space="preserve">(1) Gesellschafter einer Berufsausübungsgesellschaft können auch sein:</w:t>
      </w:r>
    </w:p>
    <w:p>
      <w:pPr>
        <w:ind w:left="420"/>
      </w:pPr>
      <w:r>
        <w:t xml:space="preserve">1. anerkannte Berufsausübungsgesellschaften nach diesem Gesetz,</w:t>
      </w:r>
    </w:p>
    <w:p>
      <w:pPr>
        <w:ind w:left="420"/>
      </w:pPr>
      <w:r>
        <w:t xml:space="preserve">2. zugelassene Berufsausübungsgesellschaften nach der Bundesrechtsanwaltsordnung,</w:t>
      </w:r>
    </w:p>
    <w:p>
      <w:pPr>
        <w:ind w:left="420"/>
      </w:pPr>
      <w:r>
        <w:t xml:space="preserve">3. anerkannte Wirtschaftsprüfungsgesellschaften und</w:t>
      </w:r>
    </w:p>
    <w:p>
      <w:pPr>
        <w:ind w:left="420"/>
      </w:pPr>
      <w:r>
        <w:t xml:space="preserve">4. anerkannte Buchprüfungsgesellschaften.</w:t>
      </w:r>
    </w:p>
    <w:p>
      <w:r>
        <w:t xml:space="preserve">Bei gesetzlichen Voraussetzungen, die in der Person der Gesellschafter oder der Mitglieder der Geschäftsführung erfüllt sein müssen, kommt es in den Fällen des Satzes 1 auf die Gesellschafter und die Geschäftsführung der beteiligten Gesellschaft an. In den Fällen des Satzes 1 Nummer 3 und 4 müssen unmittelbar und mittelbar beteiligte Gesellschaften mit Ausnahme des § 55b Absatz 3 die Anerkennungsvoraussetzung des § 53 Absatz 2 Satz 1 Nummer 1 erfüllen. Haben sich Steuerberater und Steuerbevollmächtigte, Angehörige eines der in § 50 Absatz 1 Satz 1 genannten Berufe sowie Berufsausübungsgesellschaften, die die Voraussetzungen dieses Unterabschnitts erfüllen, zu einer Gesellschaft bürgerlichen Rechts zusammengeschlossen, deren Zweck ausschließlich das Halten von Anteilen an einer anerkannten Berufsausübungsgesellschaft ist, so werden ihnen die Anteile an der Berufsausübungsgesellschaft im Verhältnis ihrer Beteiligung an der Gesellschaft bürgerlichen Rechts zugerechnet.</w:t>
      </w:r>
    </w:p>
    <w:p>
      <w:r>
        <w:t xml:space="preserve">(2) Die Übertragung von Gesellschaftsanteilen muss an die Zustimmung der Gesellschafterversammlung gebunden sein. Bei Aktiengesellschaften oder Kommanditgesellschaften auf Aktien müssen die Aktien auf Namen lauten.</w:t>
      </w:r>
    </w:p>
    <w:p>
      <w:r>
        <w:t xml:space="preserve">(3) Anteile an der Berufsausübungsgesellschaft dürfen nicht für Rechnung Dritter gehalten werden. Dritte dürfen nicht am Gewinn der Berufsausübungsgesellschaft beteiligt werden.</w:t>
      </w:r>
    </w:p>
    <w:p>
      <w:r>
        <w:t xml:space="preserve">(4) Sofern Gesellschafter die Voraussetzungen des § 50 Absatz 1 nicht erfüllen, haben sie kein Stimmrecht.</w:t>
      </w:r>
    </w:p>
    <w:p>
      <w:r>
        <w:t xml:space="preserve">(5) Gesellschafter können nur stimmberechtigte Gesellschafter zur Ausübung von Gesellschafterrechten bevollmächtigen.</w:t>
      </w:r>
    </w:p>
    <w:p>
      <w:r>
        <w:rPr>
          <w:color w:val="555555"/>
          <w:sz w:val="17"/>
        </w:rPr>
        <w:t xml:space="preserve">Zitiervorschlag: § 55a StBerG</w:t>
      </w:r>
    </w:p>
    <w:p>
      <w:r>
        <w:rPr>
          <w:color w:val="555555"/>
          <w:sz w:val="17"/>
        </w:rPr>
        <w:t xml:space="preserve">Quelle: Bundesamt für Justiz, abgerufen 03.07.2026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https://recht.nulegal.eu/gesetze/StBerG/55a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