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StBerG — Erlöschen, Rücknahme und Widerruf der Anerkennung; Abwickler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Die Anerkennung erlischt durch</w:t>
      </w:r>
    </w:p>
    <w:p>
      <w:pPr>
        <w:ind w:left="420"/>
      </w:pPr>
      <w:r>
        <w:t xml:space="preserve">1. Auflösung der Berufsausübungsgesellschaft oder</w:t>
      </w:r>
    </w:p>
    <w:p>
      <w:pPr>
        <w:ind w:left="420"/>
      </w:pPr>
      <w:r>
        <w:t xml:space="preserve">2. schriftlichen Verzicht auf die Rechte aus der Anerkennung gegenüber der zuständigen Steuerberaterkammer.</w:t>
      </w:r>
    </w:p>
    <w:p>
      <w:r>
        <w:t xml:space="preserve">(2) Die Anerkennung ist mit Wirkung für die Zukunft zurückzunehmen, wenn sich ergibt, dass die Anerkennung hätte versagt werden müssen. Von der Rücknahme der Anerkennung kann abweichend von Satz 1 abgesehen werden, wenn die Gründe, aus denen die Anerkennung hätte versagt werden müssen, nicht mehr bestehen.</w:t>
      </w:r>
    </w:p>
    <w:p>
      <w:r>
        <w:t xml:space="preserve">(3) Die Anerkennung ist zu widerrufen, wenn die Berufsausübungsgesellschaft</w:t>
      </w:r>
    </w:p>
    <w:p>
      <w:pPr>
        <w:ind w:left="420"/>
      </w:pPr>
      <w:r>
        <w:t xml:space="preserve">1. die Voraussetzungen des § 49 Absatz 1 und 2, der §§ 50, 51 Absatz 5, der §§ 55a, 55b oder des § 55f nicht mehr erfüllt, es sei denn, dass sie innerhalb einer von der Steuerberaterkammer zu bestimmenden angemessenen Frist einen den genannten Vorschriften entsprechenden Zustand herbeiführt,</w:t>
      </w:r>
    </w:p>
    <w:p>
      <w:pPr>
        <w:ind w:left="420"/>
      </w:pPr>
      <w:r>
        <w:t xml:space="preserve">2. in Vermögensverfall geraten ist, es sei denn, dass dadurch die Interessen der Personen, die Hilfeleistung in Steuersachen suchen, nicht gefährdet sind.</w:t>
      </w:r>
    </w:p>
    <w:p>
      <w:r>
        <w:t xml:space="preserve">Ein Vermögensverfall nach Satz 1 Nummer 2 wird vermutet, wenn ein Insolvenzverfahren über das Vermögen der Berufsausübungsgesellschaft eröffnet ist oder die Berufsausübungsgesellschaft in das Schuldnerverzeichnis (§ 882b der Zivilprozessordnung) eingetragen ist.</w:t>
      </w:r>
    </w:p>
    <w:p>
      <w:r>
        <w:t xml:space="preserve">(4) Die Anerkennung der Berufsausübungsgesellschaft kann widerrufen werden, wenn</w:t>
      </w:r>
    </w:p>
    <w:p>
      <w:pPr>
        <w:ind w:left="420"/>
      </w:pPr>
      <w:r>
        <w:t xml:space="preserve">1. nicht innerhalb von drei Monaten nach der Anerkennung im Bezirk der Steuerberaterkammer nach § 55e Absatz 1 eine berufliche Niederlassung eingerichtet wird oder</w:t>
      </w:r>
    </w:p>
    <w:p>
      <w:pPr>
        <w:ind w:left="420"/>
      </w:pPr>
      <w:r>
        <w:t xml:space="preserve">2. keine berufliche Niederlassung nach § 55e Absatz 1 mehr besteht.</w:t>
      </w:r>
    </w:p>
    <w:p>
      <w:r>
        <w:t xml:space="preserve">(5) Ordnet die zuständige Steuerberaterkammer die sofortige Vollziehung der Verfügung an, sind § 139 Absatz 2, 4 und 5, § 140 Absatz 2 sowie § 145 entsprechend anzuwenden. Wird die Anerkennung widerrufen, weil die Berufsausübungsgesellschaft die vorgeschriebene Berufshaftpflichtversicherung nicht unterhält, ist die Anordnung der sofortigen Vollziehung in der Regel zu treffen.</w:t>
      </w:r>
    </w:p>
    <w:p>
      <w:r>
        <w:t xml:space="preserve">(6) Hat die Berufsausübungsgesellschaft die Anerkennung verloren, kann für sie ein Abwickler bestellt werden, wenn die zur gesetzlichen Vertretung bestellten Personen keine hinreichende Gewähr zur ordnungsgemäßen Abwicklung der schwebenden Angelegenheiten bieten. § 70 ist entsprechend anzuwenden. Für die festgesetzte Vergütung des Abwicklers haften die Gesellschafter als Gesamtschuldner.</w:t>
      </w:r>
    </w:p>
    <w:p>
      <w:r>
        <w:rPr>
          <w:color w:val="555555"/>
          <w:sz w:val="17"/>
        </w:rPr>
        <w:t xml:space="preserve">Zitiervorschlag: § 55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