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StBerG — Berufspflichten der Berufsausübungsgesellschaft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26.10.2024 (konsolidierte Textfassung, kein amtliches Inkrafttretensdatum)</w:t>
      </w:r>
    </w:p>
    <w:p>
      <w:r>
        <w:t xml:space="preserve">(1) Die §§ 57 und 57a, 62, 62a, 63 bis 66, 69 bis 71 sowie 80 Absatz 1 Satz 1 und 2 gelten für Berufsausübungsgesellschaften sinngemäß.</w:t>
      </w:r>
    </w:p>
    <w:p>
      <w:r>
        <w:t xml:space="preserve">(2) Die Berufsausübungsgesellschaft hat durch geeignete Maßnahmen sicherzustellen, dass berufsrechtliche Verstöße frühzeitig erkannt und abgestellt werden. Wenn an der Berufsausübungsgesellschaft Personen beteiligt sind, die Angehörige eines in § 50 Absatz 1 Satz 1 genannten Berufs sind, ist durch geeignete gesellschaftsvertragliche Vereinbarungen sicherzustellen, dass die Berufsausübungsgesellschaft für die Erfüllung der Berufspflichten sorgen kann.</w:t>
      </w:r>
    </w:p>
    <w:p>
      <w:r>
        <w:t xml:space="preserve">(3) Werden in der Berufsausübungsgesellschaft auch nichtsteuerberatende Berufe ausgeübt, so gelten die Absätze 1 und 2 nur, soweit ein Bezug zur geschäftsmäßigen Hilfeleistung in Steuersachen besteht.</w:t>
      </w:r>
    </w:p>
    <w:p>
      <w:r>
        <w:t xml:space="preserve">(4) Die persönliche berufsrechtliche Verantwortlichkeit der Gesellschafter, Organmitglieder und sonstigen Mitarbeiter der Berufsausübungsgesellschaft bleibt unberührt.</w:t>
      </w:r>
    </w:p>
    <w:p>
      <w:r>
        <w:t xml:space="preserve">(5) Beteiligt sich eine Berufsausübungsgesellschaft an einer Mandatsgesellschaft (§ 53 Absatz 1 Satz 2 Nummer 4), so hat sie für die Einhaltung der Berufspflichten nach den Absätzen 1 bis 3 durch die Mandatsgesellschaft Sorge zu tragen. Absatz 4 gilt entsprechend.</w:t>
      </w:r>
    </w:p>
    <w:p>
      <w:r>
        <w:rPr>
          <w:color w:val="555555"/>
          <w:sz w:val="17"/>
        </w:rPr>
        <w:t xml:space="preserve">Zitiervorschlag: § 52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