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StBerG — Vereine von Land- und Forstwirten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Zur Berufsvertretung oder zu ähnlichen Zwecken gegründete Vereine von Land- und Forstwirten, zu deren satzungsmäßiger Aufgabe die Hilfeleistung in Steuersachen für land- und forstwirtschaftliche Betriebe im Sinne des Bewertungsgesetzes gehört, sind vorbehaltlich des Absatzes 2 zur geschäftsmäßigen Hilfeleistung in Steuersachen befugt, wenn die Hilfe geleistet wird</w:t>
      </w:r>
    </w:p>
    <w:p>
      <w:pPr>
        <w:ind w:left="420"/>
      </w:pPr>
      <w:r>
        <w:t xml:space="preserve">1. für ihre Mitglieder,</w:t>
      </w:r>
    </w:p>
    <w:p>
      <w:pPr>
        <w:ind w:left="420"/>
      </w:pPr>
      <w:r>
        <w:t xml:space="preserve">2. im Rahmen ihres satzungsmäßigen Aufgabenbereichs und</w:t>
      </w:r>
    </w:p>
    <w:p>
      <w:pPr>
        <w:ind w:left="420"/>
      </w:pPr>
      <w:r>
        <w:t xml:space="preserve">3. durch Personen, die nach § 44 Absatz 1 oder 3 über die Berechtigung zum Führen der Bezeichnung „Landwirtschaftliche Buchstelle“ verfügen.</w:t>
      </w:r>
    </w:p>
    <w:p>
      <w:r>
        <w:t xml:space="preserve">Mitarbeitende Angehörige des land- und forstwirtschaftlichen Betriebs und vorherige Betriebsinhaber stehen den Mitgliedern nach Satz 1 Nummer 1 gleich.</w:t>
      </w:r>
    </w:p>
    <w:p>
      <w:r>
        <w:t xml:space="preserve">(2) Vereine im Sinne des Absatzes 1 sind nicht zur geschäftsmäßigen Hilfeleistung in Steuersachen befugt, soweit für die Mitglieder, die mitarbeitenden Angehörigen oder die vorherigen Betriebsinhaber Einkünfte aus Gewerbebetrieb oder aus selbständiger Arbeit zu ermitteln sind. Satz 1 gilt nicht, wenn es sich bei den Einkünften um übliche Nebeneinkünfte von Land- und Forstwirten handelt.</w:t>
      </w:r>
    </w:p>
    <w:p>
      <w:r>
        <w:rPr>
          <w:color w:val="555555"/>
          <w:sz w:val="17"/>
        </w:rPr>
        <w:t xml:space="preserve">Zitiervorschlag: § 4a StBerG</w:t>
      </w:r>
    </w:p>
    <w:p>
      <w:r>
        <w:rPr>
          <w:color w:val="555555"/>
          <w:sz w:val="17"/>
        </w:rPr>
        <w:t xml:space="preserve">Quelle: Bundesamt für Justiz, abgerufen 01.09.2026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