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StBerG — Bestellung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Bestellung zum Steuerberater wird mit der Aushändigung einer von der Steuerberaterkammer ausgestellten Urkunde wirksam.</w:t>
      </w:r>
    </w:p>
    <w:p>
      <w:r>
        <w:t xml:space="preserve">(2) Die Urkunde darf erst ausgehändigt werden, wenn der Bewerber gegenüber der Steuerberaterkammer die Versicherung abgegeben hat, dass er die insbesondere aus § 57 Absatz 1 bis 2a folgenden Pflichten eines Steuerberaters erfüllen wird.</w:t>
      </w:r>
    </w:p>
    <w:p>
      <w:r>
        <w:t xml:space="preserve">(3) Mit der Bestellung wird der Steuerberater Mitglied der bestellenden Steuerberaterkammer.</w:t>
      </w:r>
    </w:p>
    <w:p>
      <w:r>
        <w:rPr>
          <w:color w:val="555555"/>
          <w:sz w:val="17"/>
        </w:rPr>
        <w:t xml:space="preserve">Zitiervorschlag: § 41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