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StBerG — Bestellende Steuerberaterkammer, Bestellungsverfahren</w:t>
      </w:r>
    </w:p>
    <w:p>
      <w:r>
        <w:rPr>
          <w:color w:val="555555"/>
          <w:sz w:val="18"/>
        </w:rPr>
        <w:t xml:space="preserve">Steuerberatungsgesetz</w:t>
      </w:r>
    </w:p>
    <w:p>
      <w:r>
        <w:rPr>
          <w:color w:val="555555"/>
          <w:sz w:val="18"/>
        </w:rPr>
        <w:t xml:space="preserve">Stand: 01.08.2021 (konsolidierte Textfassung, kein amtliches Inkrafttretensdatum)</w:t>
      </w:r>
    </w:p>
    <w:p>
      <w:r>
        <w:t xml:space="preserve">(1) Nach bestandener Prüfung oder nach der Befreiung von der Prüfung ist der Bewerber auf Antrag durch die zuständige Steuerberaterkammer als Steuerberater zu bestellen. Die örtliche Zuständigkeit der bestellenden Steuerberaterkammer richtet sich nach der beabsichtigten beruflichen Niederlassung des Bewerbers. Bei beabsichtigter beruflicher Niederlassung im Ausland ist für die Bestellung die Steuerberaterkammer zuständig, die den Bewerber von der Prüfung befreit hat oder die Steuerberaterkammer, in deren Kammerbezirk der Bewerber geprüft worden ist.</w:t>
      </w:r>
    </w:p>
    <w:p>
      <w:r>
        <w:t xml:space="preserve">(2) Vor der Bestellung hat die Steuerberaterkammer zu prüfen, ob der Bewerber persönlich geeignet ist. Die Bestellung ist zu versagen, wenn der Bewerber</w:t>
      </w:r>
    </w:p>
    <w:p>
      <w:pPr>
        <w:ind w:left="420"/>
      </w:pPr>
      <w:r>
        <w:t xml:space="preserve">1. nicht in geordneten wirtschaftlichen Verhältnissen lebt;</w:t>
      </w:r>
    </w:p>
    <w:p>
      <w:pPr>
        <w:ind w:left="420"/>
      </w:pPr>
      <w:r>
        <w:t xml:space="preserve">2. infolge strafgerichtlicher Verurteilung die Fähigkeit zur Bekleidung öffentlicher Ämter nicht besitzt;</w:t>
      </w:r>
    </w:p>
    <w:p>
      <w:pPr>
        <w:ind w:left="420"/>
      </w:pPr>
      <w:r>
        <w:t xml:space="preserve">3. aus gesundheitlichen Gründen nicht nur vorübergehend unfähig ist, den Beruf des Steuerberaters ordnungsgemäß auszuüben;</w:t>
      </w:r>
    </w:p>
    <w:p>
      <w:pPr>
        <w:ind w:left="420"/>
      </w:pPr>
      <w:r>
        <w:t xml:space="preserve">4. sich so verhalten hat, dass die Besorgnis begründet ist, er werde den Berufspflichten als Steuerberater nicht genügen.</w:t>
      </w:r>
    </w:p>
    <w:p>
      <w:r>
        <w:t xml:space="preserve">(3) Die Bestellung ist auch zu versagen,</w:t>
      </w:r>
    </w:p>
    <w:p>
      <w:pPr>
        <w:ind w:left="420"/>
      </w:pPr>
      <w:r>
        <w:t xml:space="preserve">1. wenn eine Entscheidung nach § 39a Abs. 1 ergangen ist;</w:t>
      </w:r>
    </w:p>
    <w:p>
      <w:pPr>
        <w:ind w:left="420"/>
      </w:pPr>
      <w:r>
        <w:t xml:space="preserve">2. solange der Bewerber eine Tätigkeit ausübt, die mit dem Beruf unvereinbar ist (§ 57 Abs. 4);</w:t>
      </w:r>
    </w:p>
    <w:p>
      <w:pPr>
        <w:ind w:left="420"/>
      </w:pPr>
      <w:r>
        <w:t xml:space="preserve">3. solange nicht die vorläufige Deckungszusage auf den Antrag zum Abschluss einer Berufshaftpflichtversicherung oder der Nachweis der Mitversicherung bei einem Arbeitgeber vorliegt.</w:t>
      </w:r>
    </w:p>
    <w:p>
      <w:r>
        <w:t xml:space="preserve">(4) Wenn es zur Entscheidung über den Versagungsgrund des Absatzes 2 Satz 2 Nummer 3 erforderlich ist, gibt die zuständige Steuerberaterkammer dem Bewerber schriftlich auf, innerhalb einer von ihr zu bestimmenden angemessenen Frist das Gutachten eines von ihr bestimmten Arztes über seinen Gesundheitszustand vorzulegen. Das Gutachten muss auf einer Untersuchung des Bewerbers und, wenn dies ein Arzt für notwendig hält, auch auf einer klinischen Beobachtung des Bewerbers beruhen. Die Kosten des Gutachtens hat der Bewerber zu tragen. Kommt der Bewerber ohne zureichenden Grund der Anordnung der Steuerberaterkammer innerhalb der gesetzten Frist nicht nach, gilt der Antrag auf Bestellung als zurückgenommen.</w:t>
      </w:r>
    </w:p>
    <w:p>
      <w:r>
        <w:t xml:space="preserve">(5) Vor der Versagung der Bestellung ist der Bewerber zu hören. Wird die Bestellung versagt, so ist ein schriftlicher Bescheid zu erteilen.</w:t>
      </w:r>
    </w:p>
    <w:p>
      <w:r>
        <w:t xml:space="preserve">(6) Für die Bearbeitung des Antrags auf Bestellung hat der Bewerber eine Gebühr von fünfzig Euro an die zuständige Steuerberaterkammer zu zahlen, soweit nicht durch eine Gebührenordnung nach § 79 Abs. 2 etwas anderes bestimmt ist.</w:t>
      </w:r>
    </w:p>
    <w:p>
      <w:r>
        <w:rPr>
          <w:color w:val="555555"/>
          <w:sz w:val="17"/>
        </w:rPr>
        <w:t xml:space="preserve">Zitiervorschlag: § 40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