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StBerG — Rücknahme von Entscheidungen</w:t>
      </w:r>
    </w:p>
    <w:p>
      <w:r>
        <w:rPr>
          <w:color w:val="555555"/>
          <w:sz w:val="18"/>
        </w:rPr>
        <w:t xml:space="preserve">Steuerberatungsgesetz</w:t>
      </w:r>
    </w:p>
    <w:p>
      <w:r>
        <w:rPr>
          <w:color w:val="555555"/>
          <w:sz w:val="18"/>
        </w:rPr>
        <w:t xml:space="preserve">Stand: 01.08.2021 (konsolidierte Textfassung, kein amtliches Inkrafttretensdatum)</w:t>
      </w:r>
    </w:p>
    <w:p>
      <w:r>
        <w:t xml:space="preserve">(1) Die Zulassung zur Prüfung oder die Befreiung von der Prüfung ist von der zuständigen Steuerberaterkammer, die Prüfungsentscheidung ist von der für die Finanzverwaltung zuständigen obersten Landesbehörde, vertreten durch die zuständige Steuerberaterkammer, zurückzunehmen, wenn</w:t>
      </w:r>
    </w:p>
    <w:p>
      <w:pPr>
        <w:ind w:left="420"/>
      </w:pPr>
      <w:r>
        <w:t xml:space="preserve">1. sie durch unlautere Mittel wie arglistige Täuschung, Drohung oder Bestechung erwirkt worden ist,</w:t>
      </w:r>
    </w:p>
    <w:p>
      <w:pPr>
        <w:ind w:left="420"/>
      </w:pPr>
      <w:r>
        <w:t xml:space="preserve">2. sie der Begünstigte durch Angaben erwirkt hat, die in wesentlicher Beziehung unrichtig oder unvollständig waren,</w:t>
      </w:r>
    </w:p>
    <w:p>
      <w:pPr>
        <w:ind w:left="420"/>
      </w:pPr>
      <w:r>
        <w:t xml:space="preserve">3. ihre Rechtswidrigkeit dem Begünstigten bekannt oder infolge grober Fahrlässigkeit nicht bekannt war.</w:t>
      </w:r>
    </w:p>
    <w:p>
      <w:r>
        <w:t xml:space="preserve">Erstrecken sich die Rücknahmegründe nach Satz 1 nur auf die Zulassung zur Prüfung, ist auch die Prüfungsentscheidung zurückzunehmen. Nach einer Rücknahme gemäß Satz 1 oder Satz 2 gilt die Steuerberaterprüfung als nicht bestanden.</w:t>
      </w:r>
    </w:p>
    <w:p>
      <w:r>
        <w:t xml:space="preserve">(2) Die für die Finanzverwaltung zuständigen obersten Landesbehörden und die Steuerberaterkammern haben Tatsachen im Sinne des Absatzes 1 Satz 1 Nr. 1 bis 3 der zuständigen Steuerberaterkammer unverzüglich mitzuteilen. § 30 der Abgabenordnung steht diesen Mitteilungen nicht entgegen. Werden Tatsachen nach Absatz 1 Satz 1 Nr. 1 bis 3 während des Bestellungsverfahrens der zuständigen Steuerberaterkammer bekannt, so ruht dieses bis zum Ausgang des Verfahrens.</w:t>
      </w:r>
    </w:p>
    <w:p>
      <w:r>
        <w:t xml:space="preserve">(3) Vor der Rücknahme ist der Betroffene zu hören.</w:t>
      </w:r>
    </w:p>
    <w:p>
      <w:r>
        <w:rPr>
          <w:color w:val="555555"/>
          <w:sz w:val="17"/>
        </w:rPr>
        <w:t xml:space="preserve">Zitiervorschlag: § 39a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