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38a StBerG — Verbindliche Auskunft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erteilt die zuständige Steuerberaterkammer eine verbindliche Auskunft über die Erfüllung einzelner Voraussetzungen für die Zulassung zur Prüfung oder für die Befreiung von der Prüfung.</w:t>
      </w:r>
    </w:p>
    <w:p>
      <w:r>
        <w:t xml:space="preserve">(2) Für die örtliche Zuständigkeit gilt § 37b Abs. 1 bis 3 entsprechend.</w:t>
      </w:r>
    </w:p>
    <w:p>
      <w:r>
        <w:rPr>
          <w:color w:val="555555"/>
          <w:sz w:val="17"/>
        </w:rPr>
        <w:t xml:space="preserve">Zitiervorschlag: § 38a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