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StBerG — Geschäftsprüfung</w:t>
      </w:r>
    </w:p>
    <w:p>
      <w:r>
        <w:rPr>
          <w:color w:val="555555"/>
          <w:sz w:val="18"/>
        </w:rPr>
        <w:t xml:space="preserve">Steuerberatungsgesetz</w:t>
      </w:r>
    </w:p>
    <w:p>
      <w:r>
        <w:rPr>
          <w:color w:val="555555"/>
          <w:sz w:val="18"/>
        </w:rPr>
        <w:t xml:space="preserve">Stand: 10.06.2019 (konsolidierte Textfassung, kein amtliches Inkrafttretensdatum)</w:t>
      </w:r>
    </w:p>
    <w:p>
      <w:r>
        <w:t xml:space="preserve">(1) Der Lohnsteuerhilfeverein hat die Vollständigkeit und Richtigkeit der Aufzeichnungen und der Vermögensübersicht (§ 21 Abs. 1 bis 3) sowie die Übereinstimmung der tatsächlichen Geschäftsführung mit den satzungsmäßigen Aufgaben des Lohnsteuerhilfevereins jährlich innerhalb von sechs Monaten nach Beendigung des Geschäftsjahres durch einen oder mehrere Geschäftsprüfer prüfen zu lassen.</w:t>
      </w:r>
    </w:p>
    <w:p>
      <w:r>
        <w:t xml:space="preserve">(2) Zu Geschäftsprüfern können nur bestellt werden</w:t>
      </w:r>
    </w:p>
    <w:p>
      <w:pPr>
        <w:ind w:left="420"/>
      </w:pPr>
      <w:r>
        <w:t xml:space="preserve">1. Personen und Gesellschaften, die nach § 3 zu unbeschränkter Hilfeleistung in Steuersachen befugt sind,</w:t>
      </w:r>
    </w:p>
    <w:p>
      <w:pPr>
        <w:ind w:left="420"/>
      </w:pPr>
      <w:r>
        <w:t xml:space="preserve">2. Prüfungsverbände, zu deren satzungsmäßigem Zweck die regelmäßige oder außerordentliche Prüfung der Mitglieder gehört, wenn mindestens ein gesetzlicher Vertreter des Verbandes Steuerberater, Steuerbevollmächtigter, Rechtsanwalt, niedergelassener europäischer Rechtsanwalt, Wirtschaftsprüfer oder vereidigter Buchprüfer ist.</w:t>
      </w:r>
    </w:p>
    <w:p>
      <w:r>
        <w:t xml:space="preserve">(3) Als Geschäftsprüfer dürfen keine Personen tätig sein, bei denen die Besorgnis der Befangenheit besteht, insbesondere weil sie Vorstandsmitglied, besonderer Vertreter oder Angestellter des zu prüfenden Lohnsteuerhilfevereins sind.</w:t>
      </w:r>
    </w:p>
    <w:p>
      <w:r>
        <w:t xml:space="preserve">(4) Den Geschäftsprüfern ist Einsicht in die Bücher und Aufzeichnungen sowie den Schriftwechsel des Vereins zu gewähren und eine Untersuchung des Kassenbestandes und der Bestände an sonstigen Vermögenswerten zu gestatten. Ihnen sind alle Aufklärungen und Nachweise zu geben, die für die Durchführung einer sorgfältigen Prüfung notwendig sind.</w:t>
      </w:r>
    </w:p>
    <w:p>
      <w:r>
        <w:t xml:space="preserve">(5) Die Geschäftsprüfer sind zu gewissenhafter und unparteiischer Prüfung und zur Verschwiegenheit verpflichtet. Sie dürfen Geschäftsgeheimnisse, die sie bei der Wahrnehmung ihrer Obliegenheiten erfahren haben, nicht unbefugt verwerten. Wer seine Obliegenheiten vorsätzlich oder grob fahrlässig verletzt, haftet dem Lohnsteuerhilfeverein für den daraus entstehenden Schaden. Mehrere Personen haften als Gesamtschuldner.</w:t>
      </w:r>
    </w:p>
    <w:p>
      <w:r>
        <w:t xml:space="preserve">(6) Die Geschäftsprüfer haben über das Ergebnis der Prüfung dem Vorstand des Lohnsteuerhilfevereins unverzüglich schriftlich zu berichten.</w:t>
      </w:r>
    </w:p>
    <w:p>
      <w:r>
        <w:t xml:space="preserve">(7) Der Lohnsteuerhilfeverein hat</w:t>
      </w:r>
    </w:p>
    <w:p>
      <w:pPr>
        <w:ind w:left="420"/>
      </w:pPr>
      <w:r>
        <w:t xml:space="preserve">1. innerhalb eines Monats nach Erhalt des Prüfungsberichts spätestens jedoch neun Monate nach Beendigung des Geschäftsjahres eine Abschrift hiervon der zuständigen Aufsichtsbehörde zuzuleiten;</w:t>
      </w:r>
    </w:p>
    <w:p>
      <w:pPr>
        <w:ind w:left="420"/>
      </w:pPr>
      <w:r>
        <w:t xml:space="preserve">2. innerhalb von sechs Monaten nach Erhalt des Prüfungsberichts den wesentlichen Inhalt der Prüfungsfeststellungen den Mitgliedern schriftlich bekanntzugeben.</w:t>
      </w:r>
    </w:p>
    <w:p>
      <w:r>
        <w:rPr>
          <w:color w:val="555555"/>
          <w:sz w:val="17"/>
        </w:rPr>
        <w:t xml:space="preserve">Zitiervorschlag: § 22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