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StBerG — Beratungsstellen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Der Lohnsteuerhilfeverein muss in dem Bezirk der Aufsichtsbehörde, in dem er seinen Sitz hat, mindestens eine Beratungsstelle unterhalten.</w:t>
      </w:r>
    </w:p>
    <w:p>
      <w:r>
        <w:t xml:space="preserve">(2) Die Unterhaltung von Beratungsstellen in Bezirken anderer Aufsichtsbehörden ist zulässig.</w:t>
      </w:r>
    </w:p>
    <w:p>
      <w:r>
        <w:t xml:space="preserve">(3) Eine Beratungsstelle darf ihre Tätigkeit erst aufnehmen, wenn sie und ihre Leitung nach Überprüfung der in § 20 Absatz 2 und 3 genannten Voraussetzungen bei der zuständigen Aufsichtsbehörde im elektronischen Verzeichnis der Lohnsteuerhilfevereine (§ 30) eingetragen sind.</w:t>
      </w:r>
    </w:p>
    <w:p>
      <w:r>
        <w:rPr>
          <w:color w:val="555555"/>
          <w:sz w:val="17"/>
        </w:rPr>
        <w:t xml:space="preserve">Zitiervorschlag: § 19 StBerG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