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164b StBerG — Gebühren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dieses Gesetz für die Bearbeitung von Anträgen Gebühren vorsieht, sind diese bei der Antragstellung zu entrichten.</w:t>
      </w:r>
    </w:p>
    <w:p>
      <w:r>
        <w:t xml:space="preserve">(2) Wird ein Antrag vor der Entscheidung zurückgenommen, ist die Gebühr zur Hälfte zu erstatten.</w:t>
      </w:r>
    </w:p>
    <w:p>
      <w:r>
        <w:rPr>
          <w:color w:val="555555"/>
          <w:sz w:val="17"/>
        </w:rPr>
        <w:t xml:space="preserve">Zitiervorschlag: § 164b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https://recht.nulegal.eu/gesetze/StBerG/164b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