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164a StBerG — Verwaltungsverfahren und finanzgerichtliches Verfahren</w:t>
      </w:r>
    </w:p>
    <w:p>
      <w:r>
        <w:rPr>
          <w:color w:val="555555"/>
          <w:sz w:val="18"/>
        </w:rPr>
        <w:t xml:space="preserve">Steuerberatungsgesetz</w:t>
      </w:r>
    </w:p>
    <w:p>
      <w:r>
        <w:rPr>
          <w:color w:val="555555"/>
          <w:sz w:val="18"/>
        </w:rPr>
        <w:t xml:space="preserve">Stand: 01.09.2026 (konsolidierte Textfassung, kein amtliches Inkrafttretensdatum)</w:t>
      </w:r>
    </w:p>
    <w:p>
      <w:r>
        <w:t xml:space="preserve">(1) Die Durchführung des Verwaltungsverfahrens in öffentlich-rechtlichen und berufsrechtlichen Angelegenheiten, die durch den Ersten Teil, den Zweiten und Sechsten Abschnitt des Zweiten Teils sowie durch § 159 geregelt werden, richtet sich nach der Abgabenordnung. Das Verfahren kann über eine einheitliche Stelle abgewickelt werden. Dafür gelten die Vorschriften des Verwaltungsverfahrensgesetzes entsprechend.</w:t>
      </w:r>
    </w:p>
    <w:p>
      <w:r>
        <w:t xml:space="preserve">(2) Die Vollziehung der Rücknahme oder des Widerrufs der Anerkennung als Lohnsteuerhilfeverein (§ 16 Absatz 2 und 3), der Anordnung der Schließung einer Beratungsstelle (§ 28a Absatz 5), der Rücknahme oder des Widerrufs der Bestellung als Steuerberater oder Steuerbevollmächtigter (§ 46) oder der Rücknahme oder des Widerrufs der Anerkennung als Berufsausübungsgesellschaft (§ 53) ist bis zum Eintritt der Unanfechtbarkeit des Widerrufs, der Rücknahme oder der Anordnung gehemmt; § 361 Absatz 4 Satz 2 und 3 der Abgabenordnung und § 69 Absatz 5 Satz 2 bis 4 der Finanzgerichtsordnung bleiben unberührt. In den Fällen des Satzes 1 kann daneben die Ausübung der Hilfeleistung in Steuersachen mit sofortiger Wirkung untersagt werden, wenn es das öffentliche Interesse erfordert.</w:t>
      </w:r>
    </w:p>
    <w:p>
      <w:r>
        <w:t xml:space="preserve">(3) In finanzgerichtlichen Verfahren in Angelegenheiten der §§ 37, 37a und 39a wird die für die Finanzverwaltung zuständige oberste Landesbehörde durch die zuständige Steuerberaterkammer vertreten. Die der für die Finanzverwaltung zuständigen obersten Landesbehörde in Verfahren nach Satz 1 auferlegten Kosten werden von der zuständigen Steuerberaterkammer unmittelbar an den Kostengläubiger gezahlt. Die für die Finanzverwaltung zuständige oberste Landesbehörde wird insoweit von ihrer Zahlungsverpflichtung gegenüber dem Kostengläubiger befreit. Die zuständige Steuerberaterkammer kann für eigene Aufwendungen in Verfahren nach Satz 1 und für die Zahlung nach Satz 2 keinen Ersatz von der für die Finanzverwaltung zuständigen obersten Landesbehörde verlangen.</w:t>
      </w:r>
    </w:p>
    <w:p>
      <w:r>
        <w:rPr>
          <w:color w:val="555555"/>
          <w:sz w:val="17"/>
        </w:rPr>
        <w:t xml:space="preserve">Zitiervorschlag: § 164a StBerG</w:t>
      </w:r>
    </w:p>
    <w:p>
      <w:r>
        <w:rPr>
          <w:color w:val="555555"/>
          <w:sz w:val="17"/>
        </w:rPr>
        <w:t xml:space="preserve">Quelle: Bundesamt für Justiz, abgerufen 01.09.2026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https://recht.nulegal.eu/gesetze/StBerG/164a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