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162 StBerG — Verletzung der den Lohnsteuerhilfevereinen obliegenden Pflichten</w:t>
      </w:r>
    </w:p>
    <w:p>
      <w:r>
        <w:rPr>
          <w:color w:val="555555"/>
          <w:sz w:val="18"/>
        </w:rPr>
        <w:t xml:space="preserve">Steuerberatungsgesetz</w:t>
      </w:r>
    </w:p>
    <w:p>
      <w:r>
        <w:rPr>
          <w:color w:val="555555"/>
          <w:sz w:val="18"/>
        </w:rPr>
        <w:t xml:space="preserve">Stand: 01.08.2021 (konsolidierte Textfassung, kein amtliches Inkrafttretensdatum)</w:t>
      </w:r>
    </w:p>
    <w:p>
      <w:r>
        <w:t xml:space="preserve">(1) Ordnungswidrig handelt, wer</w:t>
      </w:r>
    </w:p>
    <w:p>
      <w:pPr>
        <w:ind w:left="420"/>
      </w:pPr>
      <w:r>
        <w:t xml:space="preserve">1. entgegen § 14 Absatz 1 Satz 1 Nummer 8 eine Mitgliederversammlung oder eine Vertreterversammlung nicht durchführt,</w:t>
      </w:r>
    </w:p>
    <w:p>
      <w:pPr>
        <w:ind w:left="420"/>
      </w:pPr>
      <w:r>
        <w:t xml:space="preserve">2. entgegen § 15 Abs. 3 eine Satzungsänderung der zuständigen Aufsichtsbehörde nicht oder nicht rechtzeitig anzeigt,</w:t>
      </w:r>
    </w:p>
    <w:p>
      <w:pPr>
        <w:ind w:left="420"/>
      </w:pPr>
      <w:r>
        <w:t xml:space="preserve">3. entgegen § 22 Abs. 1 die jährliche Geschäftsprüfung nicht oder nicht rechtzeitig durchführen läßt,</w:t>
      </w:r>
    </w:p>
    <w:p>
      <w:pPr>
        <w:ind w:left="420"/>
      </w:pPr>
      <w:r>
        <w:t xml:space="preserve">4. entgegen § 22 Abs. 7 Nr. 1 die Abschrift des Berichts über die Geschäftsprüfung der zuständigen Aufsichtsbehörde nicht oder nicht rechtzeitig zuleitet,</w:t>
      </w:r>
    </w:p>
    <w:p>
      <w:pPr>
        <w:ind w:left="420"/>
      </w:pPr>
      <w:r>
        <w:t xml:space="preserve">5. entgegen § 22 Abs. 7 Nr. 2 den Mitgliedern des Lohnsteuerhilfevereins den wesentlichen Inhalt der Prüfungsfeststellungen nicht oder nicht rechtzeitig bekanntgibt,</w:t>
      </w:r>
    </w:p>
    <w:p>
      <w:pPr>
        <w:ind w:left="420"/>
      </w:pPr>
      <w:r>
        <w:t xml:space="preserve">6. entgegen § 23 Abs. 3 Satz 1 zur Leitung einer Beratungsstelle eine Person bestellt, die nicht die dort bezeichneten Voraussetzungen erfüllt,</w:t>
      </w:r>
    </w:p>
    <w:p>
      <w:pPr>
        <w:ind w:left="420"/>
      </w:pPr>
      <w:r>
        <w:t xml:space="preserve">7. entgegen § 23 Abs. 4 der zuständigen Aufsichtsbehörde die Eröffnung, die Schließung oder die Änderung der Anschrift einer Beratungsstelle, die Bestellung oder Abberufung des Leiters einer Beratungsstelle oder die Personen, deren sich der Verein bei der Hilfeleistung in Steuersachen im Rahmen der Befugnis nach § 4 Nr. 11 bedient, nicht mitteilt oder</w:t>
      </w:r>
    </w:p>
    <w:p>
      <w:pPr>
        <w:ind w:left="420"/>
      </w:pPr>
      <w:r>
        <w:t xml:space="preserve">8. entgegen § 25 Abs. 2 Satz 1 nicht angemessen versichert ist oder</w:t>
      </w:r>
    </w:p>
    <w:p>
      <w:pPr>
        <w:ind w:left="420"/>
      </w:pPr>
      <w:r>
        <w:t xml:space="preserve">9. entgegen § 29 Abs. 1 die Aufsichtsbehörde nicht oder nicht rechtzeitig von Mitgliederversammlungen oder Vertreterversammlungen unterrichtet.</w:t>
      </w:r>
    </w:p>
    <w:p>
      <w:r>
        <w:t xml:space="preserve">(2) Die Ordnungswidrigkeit nach Absatz 1 Nr. 1, 3 bis 6 und 8 kann mit einer Geldbuße bis zu fünftausend Euro, die Ordnungswidrigkeit nach Absatz 1 Nr. 2, 7 und 9 mit einer Geldbuße bis zu eintausend Euro geahndet werden.</w:t>
      </w:r>
    </w:p>
    <w:p>
      <w:r>
        <w:rPr>
          <w:color w:val="555555"/>
          <w:sz w:val="17"/>
        </w:rPr>
        <w:t xml:space="preserve">Zitiervorschlag: § 162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