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StBerG — Erlöschen, Rücknahme und Widerruf der Anerkennung</w:t>
      </w:r>
    </w:p>
    <w:p>
      <w:r>
        <w:rPr>
          <w:color w:val="555555"/>
          <w:sz w:val="18"/>
        </w:rPr>
        <w:t xml:space="preserve">Steuerberatungsgesetz</w:t>
      </w:r>
    </w:p>
    <w:p>
      <w:r>
        <w:rPr>
          <w:color w:val="555555"/>
          <w:sz w:val="18"/>
        </w:rPr>
        <w:t xml:space="preserve">Stand: 01.09.2026 (konsolidierte Textfassung, kein amtliches Inkrafttretensdatum)</w:t>
      </w:r>
    </w:p>
    <w:p>
      <w:r>
        <w:t xml:space="preserve">(1) Die Anerkennung erlischt durch</w:t>
      </w:r>
    </w:p>
    <w:p>
      <w:pPr>
        <w:ind w:left="420"/>
      </w:pPr>
      <w:r>
        <w:t xml:space="preserve">1. Auflösung des Vereins,</w:t>
      </w:r>
    </w:p>
    <w:p>
      <w:pPr>
        <w:ind w:left="420"/>
      </w:pPr>
      <w:r>
        <w:t xml:space="preserve">2. schriftlichen Verzicht auf die Rechte aus der Anerkennung gegenüber der zuständigen Aufsichtsbehörde oder</w:t>
      </w:r>
    </w:p>
    <w:p>
      <w:pPr>
        <w:ind w:left="420"/>
      </w:pPr>
      <w:r>
        <w:t xml:space="preserve">3. Löschung aus dem Vereinsregister.</w:t>
      </w:r>
    </w:p>
    <w:p>
      <w:r>
        <w:t xml:space="preserve">(2) Die Anerkennung ist mit Wirkung für die Zukunft zurückzunehmen, wenn sich ergibt, dass die Anerkennung hätte versagt werden müssen. Von der Rücknahme der Anerkennung kann abweichend von Satz 1 abgesehen werden, wenn die Gründe, aus denen die Anerkennung hätte versagt werden müssen, nicht mehr bestehen.</w:t>
      </w:r>
    </w:p>
    <w:p>
      <w:r>
        <w:t xml:space="preserve">(3) Die Anerkennung ist zu widerrufen, wenn</w:t>
      </w:r>
    </w:p>
    <w:p>
      <w:pPr>
        <w:ind w:left="420"/>
      </w:pPr>
      <w:r>
        <w:t xml:space="preserve">1. der Lohnsteuerhilfeverein die Voraussetzungen des § 14 Absatz 2 Nummer 2 bis 4 nicht mehr erfüllt, es sei denn, dass er innerhalb einer von der zuständigen Aufsichtsbehörde zu bestimmenden angemessenen Frist einen der genannten Vorschrift entsprechenden Zustand herbeiführt,</w:t>
      </w:r>
    </w:p>
    <w:p>
      <w:pPr>
        <w:ind w:left="420"/>
      </w:pPr>
      <w:r>
        <w:t xml:space="preserve">2. die tatsächliche Geschäftsführung des Lohnsteuerhilfevereins nicht den in § 18 Absatz 1 bezeichneten Anforderungen an die Satzung entspricht,</w:t>
      </w:r>
    </w:p>
    <w:p>
      <w:pPr>
        <w:ind w:left="420"/>
      </w:pPr>
      <w:r>
        <w:t xml:space="preserve">3. der Lohnsteuerhilfeverein in Vermögensverfall geraten ist, wobei ein Vermögensverfall vermutet wird, wenn ein Insolvenzverfahren über das Vermögen des Lohnsteuerhilfevereins eröffnet oder der Lohnsteuerhilfeverein in das Schuldnerverzeichnis (§ 882b der Zivilprozessordnung) eingetragen ist, oder</w:t>
      </w:r>
    </w:p>
    <w:p>
      <w:pPr>
        <w:ind w:left="420"/>
      </w:pPr>
      <w:r>
        <w:t xml:space="preserve">4. eine sachgerechte Erbringung der Hilfeleistung in Steuersachen oder eine ordnungsgemäße Geschäftsführung nicht gewährleistet ist, wobei eine ordnungsgemäße Geschäftsführung insbesondere dann nicht vorliegt, wenn gegen die Pflichten nach diesem Gesetz in nachhaltiger Weise verstoßen wird.</w:t>
      </w:r>
    </w:p>
    <w:p>
      <w:r>
        <w:t xml:space="preserve">(4) Vor einer Rücknahme oder einem Widerruf ist der Lohnsteuerhilfeverein zu hören.</w:t>
      </w:r>
    </w:p>
    <w:p>
      <w:r>
        <w:rPr>
          <w:color w:val="555555"/>
          <w:sz w:val="17"/>
        </w:rPr>
        <w:t xml:space="preserve">Zitiervorschlag: § 16 StBerG</w:t>
      </w:r>
    </w:p>
    <w:p>
      <w:r>
        <w:rPr>
          <w:color w:val="555555"/>
          <w:sz w:val="17"/>
        </w:rPr>
        <w:t xml:space="preserve">Quelle: Bundesamt für Justiz, abgerufen 01.09.2026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