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157d StBerG — Anwendungsvorschrift aus Anlass des Gesetzes zur Neuregelung des Berufsrechts der anwaltlichen und steuerberatenden Berufsausübungsgesellschaften sowie zur Änderung weiterer Vorschriften im Bereich der rechtsberatenden Berufe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16.03.2023 (konsolidierte Textfassung, kein amtliches Inkrafttretensdatum)</w:t>
      </w:r>
    </w:p>
    <w:p>
      <w:r>
        <w:t xml:space="preserve">(1) Wenn eine Gesellschaft vor dem 1. August 2022 als Steuerberatungsgesellschaft anerkannt wurde, gilt diese Anerkennung als Anerkennung der Berufsausübungsgesellschaft im Sinne des § 53.</w:t>
      </w:r>
    </w:p>
    <w:p>
      <w:r>
        <w:t xml:space="preserve">(2) Berufsausübungsgesellschaften, die</w:t>
      </w:r>
    </w:p>
    <w:p>
      <w:pPr>
        <w:ind w:left="420"/>
      </w:pPr>
      <w:r>
        <w:t xml:space="preserve">1. am 1. August 2022 bestanden,</w:t>
      </w:r>
    </w:p>
    <w:p>
      <w:pPr>
        <w:ind w:left="420"/>
      </w:pPr>
      <w:r>
        <w:t xml:space="preserve">2. nach § 53 Absatz 1 anerkennungsbedürftig sind und</w:t>
      </w:r>
    </w:p>
    <w:p>
      <w:pPr>
        <w:ind w:left="420"/>
      </w:pPr>
      <w:r>
        <w:t xml:space="preserve">3. nicht nach Absatz 1 als anerkannt gelten,</w:t>
      </w:r>
    </w:p>
    <w:p>
      <w:r>
        <w:t xml:space="preserve">müssen bis zum 1. November 2022 ihre Anerkennung beantragen. Ihnen stehen bis zur Entscheidung der zuständigen Steuerberaterkammer über den Antrag auf Anerkennung die Befugnisse nach § 3 Satz 1 Nummer 2 und Satz 2 sowie § 55d zu.</w:t>
      </w:r>
    </w:p>
    <w:p>
      <w:r>
        <w:rPr>
          <w:color w:val="555555"/>
          <w:sz w:val="17"/>
        </w:rPr>
        <w:t xml:space="preserve">Zitiervorschlag: § 157d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https://recht.nulegal.eu/gesetze/StBerG/157d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