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155 StBerG — Übergangsvorschriften aus Anlass des Vierten Gesetzes zur Änderung des Steuerberatungsgesetzes</w:t>
      </w:r>
    </w:p>
    <w:p>
      <w:r>
        <w:rPr>
          <w:color w:val="555555"/>
          <w:sz w:val="18"/>
        </w:rPr>
        <w:t xml:space="preserve">Steuerberatungsgesetz</w:t>
      </w:r>
    </w:p>
    <w:p>
      <w:r>
        <w:rPr>
          <w:color w:val="555555"/>
          <w:sz w:val="18"/>
        </w:rPr>
        <w:t xml:space="preserve">Stand: 01.08.2021 (konsolidierte Textfassung, kein amtliches Inkrafttretensdatum)</w:t>
      </w:r>
    </w:p>
    <w:p>
      <w:r>
        <w:t xml:space="preserve">(1) Gesellschaften und Personenvereinigungen, die nach § 4 Nr. 8 in der am 15. Juni 1989 geltenden Fassung zur geschäftsmäßigen Hilfeleistung in Steuersachen befugt waren, behalten diese Befugnis, soweit diese Hilfe durch gesetzliche Vertreter oder leitende Angestellte geleistet wird, die unter § 3 fallen, und die Hilfe nicht die Ermittlung der Einkünfte aus selbständiger Arbeit oder aus Gewerbebetrieb betrifft, es sei denn, dass es sich hierbei um Nebeneinkünfte handelt, die üblicherweise bei Landwirten vorkommen. Die Befugnis zur geschäftsmäßigen Hilfeleistung in Steuersachen erlischt, wenn sie nicht nach dem 16. Juni 1999 durch Personen geleistet wird, die berechtigt sind, die Bezeichnung "Landwirtschaftliche Buchstelle" zu führen. Die für die Finanzverwaltung zuständige oberste Landesbehörde kann die Frist um bis zu zwei Jahre verlängern, wenn dies nach Lage des einzelnen Falles angemessen ist.</w:t>
      </w:r>
    </w:p>
    <w:p>
      <w:r>
        <w:t xml:space="preserve">(2) Vereinigungen im Sinne des Absatzes 1, die am 16. Juni 1989 befugt waren, die Bezeichnung "Landwirtschaftliche Buchstelle" zu führen, dürfen diese Bezeichnung als Zusatz zum Namen der Vereinigung weiter führen, wenn mindestens ein leitender Angestellter berechtigt ist, diese Bezeichnung als Zusatz zur Berufsbezeichnung zu führen.</w:t>
      </w:r>
    </w:p>
    <w:p>
      <w:r>
        <w:t xml:space="preserve">(3) Die in § 36 Absatz 1 Satz 1 Nummer 2 und Absatz 2 Nummer 1 bestimmte Reihenfolge der Vorbildungsvoraussetzungen gilt nicht für Tätigkeiten, die vor dem 16. Juni 1989 ausgeübt worden sind.</w:t>
      </w:r>
    </w:p>
    <w:p>
      <w:r>
        <w:rPr>
          <w:color w:val="555555"/>
          <w:sz w:val="17"/>
        </w:rPr>
        <w:t xml:space="preserve">Zitiervorschlag: § 155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