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154 StBerG — Bestehende Gesellschaften</w:t>
      </w:r>
    </w:p>
    <w:p>
      <w:r>
        <w:rPr>
          <w:color w:val="555555"/>
          <w:sz w:val="18"/>
        </w:rPr>
        <w:t xml:space="preserve">Steuerberatungsgesetz</w:t>
      </w:r>
    </w:p>
    <w:p>
      <w:r>
        <w:rPr>
          <w:color w:val="555555"/>
          <w:sz w:val="18"/>
        </w:rPr>
        <w:t xml:space="preserve">Stand: 01.09.2026 (konsolidierte Textfassung, kein amtliches Inkrafttretensdatum)</w:t>
      </w:r>
    </w:p>
    <w:p>
      <w:r>
        <w:t xml:space="preserve">(1) Steuerberatungsgesellschaften, die am 16. Juni 1989 anerkannt sind, bleiben anerkannt. Dies gilt auch, wenn die Gesellschaft zur Übernahme der Mandanten einer Einrichtung nach § 4 Nummer 3, 7 oder 8 in der am 31. August 2026 geltenden Fassung gegründet wurde oder später die Mandanten einer solchen Einrichtung übernommen hat. Verändert sich in den Fällen der Sätze 1 und 2 der Bestand der Gesellschafter oder das Verhältnis ihrer Beteiligungen oder Stimmrechte durch Rechtsgeschäft oder Erbfall und geht der Anteil oder das Stimmrecht nicht auf einen Gesellschafter über, der die Voraussetzungen der §§ 49 und 50 erfüllt, so hat die zuständige Steuerberaterkammer nach § 55 Absatz 3 zu verfahren. Sie kann vom Widerruf der Anerkennung absehen, wenn Anteile von einer Körperschaft des öffentlichen Rechts im Zusammenhang mit der Überragung von Aufgaben auf eine andere Körperschaft des öffentlichen Rechts übergehen.</w:t>
      </w:r>
    </w:p>
    <w:p>
      <w:r>
        <w:t xml:space="preserve">(2) Absatz 1 Satz 3 und 4 gilt auch für unmittelbar oder mittelbar an Berufsausübungsgesellschaften beteiligte Gesellschaften, wenn sie nicht die Kapitalbindungsvorschrift des § 55a dieses Gesetzes oder des § 28 Absatz 4 der Wirtschaftsprüferordnung erfüllen. Auf Antrag kann auf Grund einer von der zuständigen Steuerberaterkammer erteilten Ausnahmegenehmigung von der Anwendung des Satzes 1 abgesehen werden, wenn</w:t>
      </w:r>
    </w:p>
    <w:p>
      <w:pPr>
        <w:ind w:left="420"/>
      </w:pPr>
      <w:r>
        <w:t xml:space="preserve">1. sich der Bestand der Gesellschafter einer beteiligten Gesellschaft und das Verhältnis ihrer Beteiligungen oder Stimmrechte dadurch ändert, dass ein Gesellschafter aus der beteiligten Gesellschaft ausscheidet und infolgedessen sein Anteil oder Stimmrecht auf einen Gesellschafter übergeht, der vor dem 19. Mai 1994 Gesellschafter der beteiligten Gesellschaft war, und die beteiligte Gesellschaft, bei der die Änderung eintritt, vor der Änderung von Berufsvertretungen desselben Berufs gebildet wurde, oder</w:t>
      </w:r>
    </w:p>
    <w:p>
      <w:pPr>
        <w:ind w:left="420"/>
      </w:pPr>
      <w:r>
        <w:t xml:space="preserve">2. sich der Bestand der Gesellschafter einer beteiligten Gesellschaft und das Verhältnis ihrer Beteiligungen oder Stimmrechte in den vorangegangenen Jahren jeweils nur geringfügig geändert hat, oder</w:t>
      </w:r>
    </w:p>
    <w:p>
      <w:pPr>
        <w:ind w:left="420"/>
      </w:pPr>
      <w:r>
        <w:t xml:space="preserve">3. sich der Bestand der Gesellschafter einer beteiligten Gesellschaft und das Verhältnis ihrer Beteiligungen oder Stimmrechte ändert und dies auf einen Strukturwandel im landwirtschaftlichen Bereich zurückzuführen ist.</w:t>
      </w:r>
    </w:p>
    <w:p>
      <w:r>
        <w:rPr>
          <w:color w:val="555555"/>
          <w:sz w:val="17"/>
        </w:rPr>
        <w:t xml:space="preserve">Zitiervorschlag: § 154 StBerG</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