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StBerG — Vollstreckung der berufsgerichtlichen Maßnahmen und der Kosten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Ausschließung aus dem Beruf (§ 90 Absatz 1 Nummer 5) und die Aberkennung der Befugnis zur geschäftsmäßigen Hilfeleistung in Steuersachen (§ 90 Absatz 2 Nummer 5) werden mit der Rechtskraft des Urteils wirksam. Der Verurteilte wird auf Grund einer beglaubigten Abschrift der Urteilsformel, die mit der Bescheinigung der Rechtskraft versehen ist, im Verzeichnis der Mitglieder der Steuerberaterkammern gelöscht.</w:t>
      </w:r>
    </w:p>
    <w:p>
      <w:r>
        <w:t xml:space="preserve">(2) Warnung und Verweis (§ 90 Absatz 1 Nummer 1 und 2, Absatz 2 Nummer 1 und 2) gelten mit der Rechtskraft des Urteils als vollstreckt.</w:t>
      </w:r>
    </w:p>
    <w:p>
      <w:r>
        <w:t xml:space="preserve">(3) Die Vollstreckung der Geldbuße und die Beitreibung der Kosten werden nicht dadurch gehindert, daß das Mitglied der Steuerberaterkammer nach rechtskräftigem Abschluß des Verfahrens aus dem Beruf ausgeschieden oder die Anerkennung als Berufsausübungsgesellschaft erloschen, zurückgenommen oder widerrufen ist. Werden zusammen mit einer Geldbuße die Kosten beigetrieben, so gelten auch für die Kosten die Vorschriften über die Vollstreckung der Geldbuße.</w:t>
      </w:r>
    </w:p>
    <w:p>
      <w:r>
        <w:rPr>
          <w:color w:val="555555"/>
          <w:sz w:val="17"/>
        </w:rPr>
        <w:t xml:space="preserve">Zitiervorschlag: § 151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