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146 StBerG — Gerichtskosten</w:t>
      </w:r>
    </w:p>
    <w:p>
      <w:r>
        <w:rPr>
          <w:color w:val="555555"/>
          <w:sz w:val="18"/>
        </w:rPr>
        <w:t xml:space="preserve">Steuerberatungsgesetz</w:t>
      </w:r>
    </w:p>
    <w:p>
      <w:r>
        <w:rPr>
          <w:color w:val="555555"/>
          <w:sz w:val="18"/>
        </w:rPr>
        <w:t xml:space="preserve">Stand: 23.01.2024 (konsolidierte Textfassung, kein amtliches Inkrafttretensdatum)</w:t>
      </w:r>
    </w:p>
    <w:p>
      <w:r>
        <w:t xml:space="preserve">Im berufsgerichtlichen Verfahren und im Verfahren über den Antrag auf Entscheidung des Landgerichts über die Rüge (§ 82 Abs. 1) werden Gebühren nach dem Gebührenverzeichnis der Anlage 2 zu diesem Gesetz erhoben. Im Übrigen sind die für Kosten in Strafsachen geltenden Vorschriften des Gerichtskostengesetzes entsprechend anzuwenden.</w:t>
      </w:r>
    </w:p>
    <w:p>
      <w:r>
        <w:rPr>
          <w:color w:val="555555"/>
          <w:sz w:val="17"/>
        </w:rPr>
        <w:t xml:space="preserve">Zitiervorschlag: § 146 StBerG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https://recht.nulegal.eu/gesetze/StBerG/146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