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StBerG — Bestellung eines Vertreters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Für das Mitglied der Steuerberaterkammer, gegen das ein Berufs- oder Vertretungsverbot verhängt ist, wird im Fall des Bedürfnisses von der zuständigen Steuerberaterkammer ein Vertreter bestellt. Das Mitglied der Steuerberaterkammer ist vor der Bestellung zu hören; es kann einen geeigneten Vertreter vorschlagen.</w:t>
      </w:r>
    </w:p>
    <w:p>
      <w:r>
        <w:t xml:space="preserve">(2) Der Vertreter muß Mitglied einer Steuerberaterkammer sein.</w:t>
      </w:r>
    </w:p>
    <w:p>
      <w:r>
        <w:t xml:space="preserve">(3) Ein Mitglied einer Steuerberaterkammer, dem die Vertretung übertragen wird, kann sie nur aus einem wichtigen Grund ablehnen.</w:t>
      </w:r>
    </w:p>
    <w:p>
      <w:r>
        <w:t xml:space="preserve">(4) § 69 Abs. 2 bis 4 ist entsprechend anzuwenden.</w:t>
      </w:r>
    </w:p>
    <w:p>
      <w:r>
        <w:t xml:space="preserve">(5)</w:t>
      </w:r>
    </w:p>
    <w:p>
      <w:r>
        <w:rPr>
          <w:color w:val="555555"/>
          <w:sz w:val="17"/>
        </w:rPr>
        <w:t xml:space="preserve">Zitiervorschlag: § 145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