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140 StBerG — Zuwiderhandlungen gegen das Verbot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Gegen ein Mitglied der Steuerberaterkammer, das einem gegen sich ergangenen Berufs- oder Vertretungsverbot wissentlich zuwiderhandelt, wird eine Maßnahme nach § 90 Absatz 1 Nummer 5 oder Absatz 2 Nummer 5 verhängt, sofern nicht wegen besonderer Umstände eine mildere anwaltsgerichtliche Maßnahme ausreichend erscheint.</w:t>
      </w:r>
    </w:p>
    <w:p>
      <w:r>
        <w:t xml:space="preserve">(2) Gerichte oder Behörden haben ein Mitglied der Steuerberaterkammer, das entgegen einem Berufs- oder Vertretungsverbot vor ihnen auftritt, zurückzuweisen.</w:t>
      </w:r>
    </w:p>
    <w:p>
      <w:r>
        <w:rPr>
          <w:color w:val="555555"/>
          <w:sz w:val="17"/>
        </w:rPr>
        <w:t xml:space="preserve">Zitiervorschlag: § 140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https://recht.nulegal.eu/gesetze/StBerG/140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