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StBerG — Voraussetzungen für die Anerkennung, Aufnahme der Tätigkeit</w:t>
      </w:r>
    </w:p>
    <w:p>
      <w:r>
        <w:rPr>
          <w:color w:val="555555"/>
          <w:sz w:val="18"/>
        </w:rPr>
        <w:t xml:space="preserve">Steuerberatungsgesetz</w:t>
      </w:r>
    </w:p>
    <w:p>
      <w:r>
        <w:rPr>
          <w:color w:val="555555"/>
          <w:sz w:val="18"/>
        </w:rPr>
        <w:t xml:space="preserve">Stand: 10.06.2019 (konsolidierte Textfassung, kein amtliches Inkrafttretensdatum)</w:t>
      </w:r>
    </w:p>
    <w:p>
      <w:r>
        <w:t xml:space="preserve">(1) Ein rechtsfähiger Verein kann als Lohnsteuerhilfeverein anerkannt werden, wenn nach der Satzung</w:t>
      </w:r>
    </w:p>
    <w:p>
      <w:pPr>
        <w:ind w:left="420"/>
      </w:pPr>
      <w:r>
        <w:t xml:space="preserve">1. seine Aufgabe ausschließlich die Hilfeleistung in Steuersachen im Rahmen der Befugnis nach § 4 Nr. 11 für seine Mitglieder ist;</w:t>
      </w:r>
    </w:p>
    <w:p>
      <w:pPr>
        <w:ind w:left="420"/>
      </w:pPr>
      <w:r>
        <w:t xml:space="preserve">2. der Sitz und die Geschäftsleitung des Vereins sich in demselben Bezirk der Aufsichtsbehörde befinden;</w:t>
      </w:r>
    </w:p>
    <w:p>
      <w:pPr>
        <w:ind w:left="420"/>
      </w:pPr>
      <w:r>
        <w:t xml:space="preserve">3. der Name des Vereins keinen Bestandteil mit besonderem Werbecharakter enthält;</w:t>
      </w:r>
    </w:p>
    <w:p>
      <w:pPr>
        <w:ind w:left="420"/>
      </w:pPr>
      <w:r>
        <w:t xml:space="preserve">4. eine sachgemäße Ausübung der Hilfeleistung in Steuersachen im Rahmen der Befugnis nach § 4 Nr. 11 sichergestellt ist;</w:t>
      </w:r>
    </w:p>
    <w:p>
      <w:pPr>
        <w:ind w:left="420"/>
      </w:pPr>
      <w:r>
        <w:t xml:space="preserve">5. für die Hilfeleistung in Steuersachen im Rahmen der Befugnis nach § 4 Nr. 11 neben dem Mitgliedsbeitrag kein besonderes Entgelt erhoben wird;</w:t>
      </w:r>
    </w:p>
    <w:p>
      <w:pPr>
        <w:ind w:left="420"/>
      </w:pPr>
      <w:r>
        <w:t xml:space="preserve">6. die Anwendung der Vorschriften des § 27 Absatz 1 und 3 Satz 1 sowie der §§ 32 und 33 des Bürgerlichen Gesetzbuches nicht ausgeschlossen ist;</w:t>
      </w:r>
    </w:p>
    <w:p>
      <w:pPr>
        <w:ind w:left="420"/>
      </w:pPr>
      <w:r>
        <w:t xml:space="preserve">7. Verträge des Vereins mit Mitgliedern des Vorstands oder deren Angehörigen der Zustimmung oder Genehmigung der Mitgliederversammlung bedürfen;</w:t>
      </w:r>
    </w:p>
    <w:p>
      <w:pPr>
        <w:ind w:left="420"/>
      </w:pPr>
      <w:r>
        <w:t xml:space="preserve">8. innerhalb von drei Monaten nach Bekanntgabe des wesentlichen Inhalts der Prüfungsfeststellungen an die Mitglieder (§ 22 Abs. 7 Nr. 2) eine Mitgliederversammlung stattfinden muß, in der insbesondere eine Aussprache über das Ergebnis der Geschäftsprüfung durchzuführen und über die Entlastung des Vorstands wegen seiner Geschäftsführung während des geprüften Geschäftsjahres zu befinden ist.</w:t>
      </w:r>
    </w:p>
    <w:p>
      <w:r>
        <w:t xml:space="preserve">An die Stelle der Mitgliederversammlung kann eine Vertreterversammlung treten, sofern durch sie eine ausreichende Wahrnehmung der Interessen der Mitglieder gewährleistet ist. Die Vorschriften über Mitgliederversammlungen gelten für Vertreterversammlungen sinngemäß.</w:t>
      </w:r>
    </w:p>
    <w:p>
      <w:r>
        <w:t xml:space="preserve">(2) Die Anerkennung darf nur ausgesprochen werden, wenn das Bestehen einer Versicherung gegen die sich aus der Hilfeleistung in Steuersachen im Rahmen der Befugnis nach § 4 Nr. 11 ergebenden Haftpflichtgefahren (§ 25 Abs. 2) nachgewiesen wird.</w:t>
      </w:r>
    </w:p>
    <w:p>
      <w:r>
        <w:t xml:space="preserve">(3) Die Hilfeleistung in Steuersachen im Rahmen der Befugnis nach § 4 Nr. 11 darf erst nach der Anerkennung als Lohnsteuerhilfeverein aufgenommen werden.</w:t>
      </w:r>
    </w:p>
    <w:p>
      <w:r>
        <w:rPr>
          <w:color w:val="555555"/>
          <w:sz w:val="17"/>
        </w:rPr>
        <w:t xml:space="preserve">Zitiervorschlag: § 14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